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9183" w14:textId="77777777" w:rsidR="00326B3C" w:rsidRDefault="00326B3C">
      <w:pPr>
        <w:rPr>
          <w:vanish/>
          <w:sz w:val="6"/>
        </w:rPr>
      </w:pPr>
    </w:p>
    <w:p w14:paraId="061CFCAD" w14:textId="77777777" w:rsidR="00326B3C" w:rsidRDefault="00B248BB">
      <w:r>
        <w:rPr>
          <w:b/>
          <w:bCs/>
          <w:sz w:val="22"/>
        </w:rPr>
        <w:t>Synopse</w:t>
      </w:r>
    </w:p>
    <w:p w14:paraId="21162129" w14:textId="77777777" w:rsidR="00326B3C" w:rsidRDefault="00326B3C"/>
    <w:p w14:paraId="6902F117" w14:textId="77777777" w:rsidR="00326B3C" w:rsidRDefault="00B248BB">
      <w:r>
        <w:rPr>
          <w:b/>
          <w:bCs/>
          <w:sz w:val="22"/>
        </w:rPr>
        <w:t>Musterreglement über die Stiftungsaufsicht der kommunalen Stiftungen</w:t>
      </w:r>
    </w:p>
    <w:p w14:paraId="30E7FF56" w14:textId="77777777" w:rsidR="00326B3C" w:rsidRDefault="00326B3C"/>
    <w:tbl>
      <w:tblPr>
        <w:tblW w:w="0" w:type="dxa"/>
        <w:tblInd w:w="108" w:type="dxa"/>
        <w:tblLayout w:type="fixed"/>
        <w:tblCellMar>
          <w:top w:w="108" w:type="dxa"/>
          <w:bottom w:w="108" w:type="dxa"/>
        </w:tblCellMar>
        <w:tblLook w:val="04A0" w:firstRow="1" w:lastRow="0" w:firstColumn="1" w:lastColumn="0" w:noHBand="0" w:noVBand="1"/>
      </w:tblPr>
      <w:tblGrid>
        <w:gridCol w:w="14346"/>
      </w:tblGrid>
      <w:tr w:rsidR="00B248BB" w14:paraId="2F86897B" w14:textId="77777777" w:rsidTr="00B248BB">
        <w:trPr>
          <w:tblHeader/>
        </w:trPr>
        <w:tc>
          <w:tcPr>
            <w:tcW w:w="1434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3B4302" w14:textId="77777777" w:rsidR="00B248BB" w:rsidRDefault="00B248BB">
            <w:pPr>
              <w:pStyle w:val="TableContents"/>
            </w:pPr>
            <w:r>
              <w:rPr>
                <w:b/>
                <w:sz w:val="22"/>
              </w:rPr>
              <w:t>Musterreglement Version LKA-men</w:t>
            </w:r>
          </w:p>
        </w:tc>
      </w:tr>
      <w:tr w:rsidR="00B248BB" w14:paraId="730BF556" w14:textId="77777777" w:rsidTr="00B248BB">
        <w:tc>
          <w:tcPr>
            <w:tcW w:w="14346" w:type="dxa"/>
            <w:tcBorders>
              <w:top w:val="single" w:sz="4" w:space="0" w:color="000000"/>
              <w:left w:val="single" w:sz="4" w:space="0" w:color="000000"/>
              <w:right w:val="single" w:sz="4" w:space="0" w:color="000000"/>
            </w:tcBorders>
            <w:shd w:val="clear" w:color="auto" w:fill="auto"/>
          </w:tcPr>
          <w:p w14:paraId="575500C9" w14:textId="77777777" w:rsidR="00B248BB" w:rsidRDefault="00B248BB">
            <w:pPr>
              <w:pStyle w:val="TableContents"/>
            </w:pPr>
            <w:r>
              <w:rPr>
                <w:b/>
                <w:bCs/>
                <w:sz w:val="22"/>
              </w:rPr>
              <w:t>Musterreglement über die Beaufsichtigung der Stiftungen (Reglement Stiftungsaufsicht)</w:t>
            </w:r>
          </w:p>
        </w:tc>
      </w:tr>
      <w:tr w:rsidR="00B248BB" w14:paraId="3A2BECD3" w14:textId="77777777" w:rsidTr="00B248BB">
        <w:tc>
          <w:tcPr>
            <w:tcW w:w="14346" w:type="dxa"/>
            <w:tcBorders>
              <w:top w:val="single" w:sz="4" w:space="0" w:color="000000"/>
              <w:left w:val="single" w:sz="4" w:space="0" w:color="000000"/>
              <w:right w:val="single" w:sz="4" w:space="0" w:color="000000"/>
            </w:tcBorders>
            <w:shd w:val="clear" w:color="auto" w:fill="auto"/>
          </w:tcPr>
          <w:p w14:paraId="2CCFC7AC" w14:textId="77777777" w:rsidR="00B248BB" w:rsidRDefault="00B248BB">
            <w:pPr>
              <w:pStyle w:val="Autor"/>
            </w:pPr>
            <w:r>
              <w:t>Die Gemeindeversammlung / Der Einwohnerrat der Einwohnergemeinde XY</w:t>
            </w:r>
          </w:p>
        </w:tc>
      </w:tr>
      <w:tr w:rsidR="00B248BB" w14:paraId="3E79DDDB" w14:textId="77777777" w:rsidTr="00B248BB">
        <w:tc>
          <w:tcPr>
            <w:tcW w:w="14346" w:type="dxa"/>
            <w:tcBorders>
              <w:left w:val="single" w:sz="4" w:space="0" w:color="000000"/>
              <w:right w:val="single" w:sz="4" w:space="0" w:color="000000"/>
            </w:tcBorders>
            <w:shd w:val="clear" w:color="auto" w:fill="auto"/>
          </w:tcPr>
          <w:p w14:paraId="42291E3D" w14:textId="77777777" w:rsidR="00B248BB" w:rsidRDefault="00B248BB">
            <w:pPr>
              <w:pStyle w:val="TableContents"/>
            </w:pPr>
            <w:r>
              <w:t>gestützt auf §§ 46 und 47 Absatz 1 Ziffer 2 des Gesetzes vom 28. Mai 1970 über die Organisation und die Verwaltung der Gemeinden (Gemeindegesetz, SGS 180) [1] sowie auf § 52 des Gesetzes vom 30. Mai 1911[2] über die Einführung des Zivilgesetzbuches</w:t>
            </w:r>
          </w:p>
        </w:tc>
      </w:tr>
      <w:tr w:rsidR="00B248BB" w14:paraId="2A4EA5D7" w14:textId="77777777" w:rsidTr="00B248BB">
        <w:tc>
          <w:tcPr>
            <w:tcW w:w="14346" w:type="dxa"/>
            <w:tcBorders>
              <w:left w:val="single" w:sz="4" w:space="0" w:color="000000"/>
              <w:right w:val="single" w:sz="4" w:space="0" w:color="000000"/>
            </w:tcBorders>
            <w:shd w:val="clear" w:color="auto" w:fill="auto"/>
          </w:tcPr>
          <w:p w14:paraId="6440F046" w14:textId="77777777" w:rsidR="00B248BB" w:rsidRDefault="00B248BB">
            <w:pPr>
              <w:pStyle w:val="Aktion"/>
            </w:pPr>
            <w:r>
              <w:t>beschliesst</w:t>
            </w:r>
          </w:p>
        </w:tc>
      </w:tr>
      <w:tr w:rsidR="00B248BB" w14:paraId="0D0E7672" w14:textId="77777777" w:rsidTr="00B248BB">
        <w:tc>
          <w:tcPr>
            <w:tcW w:w="14346" w:type="dxa"/>
            <w:tcBorders>
              <w:top w:val="single" w:sz="4" w:space="0" w:color="000000"/>
              <w:left w:val="single" w:sz="4" w:space="0" w:color="000000"/>
              <w:right w:val="single" w:sz="4" w:space="0" w:color="000000"/>
            </w:tcBorders>
            <w:shd w:val="clear" w:color="auto" w:fill="auto"/>
          </w:tcPr>
          <w:p w14:paraId="263CFEFA" w14:textId="77777777" w:rsidR="00B248BB" w:rsidRDefault="00B248BB">
            <w:pPr>
              <w:pStyle w:val="Abschnittstitel"/>
            </w:pPr>
            <w:r>
              <w:t>I.</w:t>
            </w:r>
          </w:p>
        </w:tc>
      </w:tr>
      <w:tr w:rsidR="00B248BB" w14:paraId="5654BF94" w14:textId="77777777" w:rsidTr="00B248BB">
        <w:tc>
          <w:tcPr>
            <w:tcW w:w="14346" w:type="dxa"/>
            <w:tcBorders>
              <w:top w:val="single" w:sz="4" w:space="0" w:color="000000"/>
              <w:left w:val="single" w:sz="4" w:space="0" w:color="000000"/>
              <w:right w:val="single" w:sz="4" w:space="0" w:color="000000"/>
            </w:tcBorders>
            <w:shd w:val="clear" w:color="auto" w:fill="auto"/>
          </w:tcPr>
          <w:p w14:paraId="7EE29AAC" w14:textId="77777777" w:rsidR="00B248BB" w:rsidRDefault="00B248BB">
            <w:pPr>
              <w:pStyle w:val="TableContents"/>
            </w:pPr>
            <w:r>
              <w:rPr>
                <w:b/>
                <w:bCs/>
                <w:sz w:val="22"/>
              </w:rPr>
              <w:t>1 Geltungsbereich und Übernahme der Aufsicht</w:t>
            </w:r>
          </w:p>
        </w:tc>
      </w:tr>
      <w:tr w:rsidR="00B248BB" w14:paraId="07546CE0"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0C467DCA" w14:textId="77777777" w:rsidR="00B248BB" w:rsidRDefault="00B248BB">
            <w:pPr>
              <w:pStyle w:val="TableContents"/>
            </w:pPr>
            <w:r>
              <w:rPr>
                <w:b/>
                <w:bCs/>
              </w:rPr>
              <w:t>§  1</w:t>
            </w:r>
            <w:r>
              <w:br/>
            </w:r>
            <w:r>
              <w:rPr>
                <w:sz w:val="14"/>
              </w:rPr>
              <w:t>Geltungsbereich</w:t>
            </w:r>
          </w:p>
        </w:tc>
      </w:tr>
      <w:tr w:rsidR="00B248BB" w14:paraId="04E79C8A" w14:textId="77777777" w:rsidTr="00B248BB">
        <w:trPr>
          <w:cantSplit/>
        </w:trPr>
        <w:tc>
          <w:tcPr>
            <w:tcW w:w="14346" w:type="dxa"/>
            <w:tcBorders>
              <w:left w:val="single" w:sz="4" w:space="0" w:color="000000"/>
              <w:right w:val="single" w:sz="4" w:space="0" w:color="000000"/>
            </w:tcBorders>
            <w:shd w:val="clear" w:color="auto" w:fill="auto"/>
          </w:tcPr>
          <w:p w14:paraId="4CE19395" w14:textId="77777777" w:rsidR="00B248BB" w:rsidRDefault="00B248BB">
            <w:pPr>
              <w:pStyle w:val="TableContents"/>
            </w:pPr>
            <w:r>
              <w:rPr>
                <w:vertAlign w:val="superscript"/>
              </w:rPr>
              <w:t>1</w:t>
            </w:r>
            <w:r>
              <w:t> Dieses Reglement regelt die Beaufsichtigung von privatrechtlichen Stiftungen, welche von Bundesrechts wegen der Aufsicht der Gemeinde xy unterstellt sind (Art. 84 Abs. 1 des Schweizerischen Zivilgesetzbuches, ZGB</w:t>
            </w:r>
            <w:r>
              <w:rPr>
                <w:rStyle w:val="Funotenzeichen"/>
                <w:sz w:val="20"/>
              </w:rPr>
              <w:footnoteReference w:id="1"/>
            </w:r>
            <w:r>
              <w:rPr>
                <w:rStyle w:val="Funotenzeichen"/>
                <w:sz w:val="20"/>
              </w:rPr>
              <w:t>)</w:t>
            </w:r>
            <w:r>
              <w:t>).</w:t>
            </w:r>
          </w:p>
        </w:tc>
      </w:tr>
      <w:tr w:rsidR="00B248BB" w14:paraId="2773628D" w14:textId="77777777" w:rsidTr="00B248BB">
        <w:trPr>
          <w:cantSplit/>
        </w:trPr>
        <w:tc>
          <w:tcPr>
            <w:tcW w:w="14346" w:type="dxa"/>
            <w:tcBorders>
              <w:left w:val="single" w:sz="4" w:space="0" w:color="000000"/>
              <w:right w:val="single" w:sz="4" w:space="0" w:color="000000"/>
            </w:tcBorders>
            <w:shd w:val="clear" w:color="auto" w:fill="auto"/>
          </w:tcPr>
          <w:p w14:paraId="446D12B4" w14:textId="77777777" w:rsidR="00B248BB" w:rsidRDefault="00B248BB">
            <w:pPr>
              <w:pStyle w:val="TableContents"/>
            </w:pPr>
            <w:r>
              <w:rPr>
                <w:vertAlign w:val="superscript"/>
              </w:rPr>
              <w:t>2</w:t>
            </w:r>
            <w:r>
              <w:t> Es regelt die Zusammenarbeit zwischen den kommunalen Aufsichtsbehörden und den Kantonsbehörden.</w:t>
            </w:r>
          </w:p>
        </w:tc>
      </w:tr>
      <w:tr w:rsidR="00B248BB" w14:paraId="46C9AD6F"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109888ED" w14:textId="77777777" w:rsidR="00B248BB" w:rsidRDefault="00B248BB">
            <w:pPr>
              <w:pStyle w:val="TableContents"/>
            </w:pPr>
            <w:r>
              <w:rPr>
                <w:b/>
                <w:bCs/>
              </w:rPr>
              <w:t>§  2</w:t>
            </w:r>
            <w:r>
              <w:br/>
            </w:r>
            <w:r>
              <w:rPr>
                <w:sz w:val="14"/>
              </w:rPr>
              <w:t>Prüfung des Errichtungsaktes</w:t>
            </w:r>
          </w:p>
        </w:tc>
      </w:tr>
      <w:tr w:rsidR="00B248BB" w14:paraId="6381E410" w14:textId="77777777" w:rsidTr="00B248BB">
        <w:trPr>
          <w:cantSplit/>
        </w:trPr>
        <w:tc>
          <w:tcPr>
            <w:tcW w:w="14346" w:type="dxa"/>
            <w:tcBorders>
              <w:left w:val="single" w:sz="4" w:space="0" w:color="000000"/>
              <w:right w:val="single" w:sz="4" w:space="0" w:color="000000"/>
            </w:tcBorders>
            <w:shd w:val="clear" w:color="auto" w:fill="auto"/>
          </w:tcPr>
          <w:p w14:paraId="420F6426" w14:textId="77777777" w:rsidR="00B248BB" w:rsidRDefault="00B248BB">
            <w:pPr>
              <w:pStyle w:val="TableContents"/>
            </w:pPr>
            <w:r>
              <w:rPr>
                <w:vertAlign w:val="superscript"/>
              </w:rPr>
              <w:t>1</w:t>
            </w:r>
            <w:r>
              <w:t> Der Gemeinderat prüft, ob das gewidmete Vermögen und die vorgesehene Organisation für eine dem Zweck entsprechende Tätigkeit genügen und ob der Zweck selbst nicht widerrechtlich, unsittlich oder unmöglich ist.</w:t>
            </w:r>
          </w:p>
        </w:tc>
      </w:tr>
      <w:tr w:rsidR="00B248BB" w14:paraId="583F5DF9" w14:textId="77777777" w:rsidTr="00B248BB">
        <w:trPr>
          <w:cantSplit/>
        </w:trPr>
        <w:tc>
          <w:tcPr>
            <w:tcW w:w="14346" w:type="dxa"/>
            <w:tcBorders>
              <w:left w:val="single" w:sz="4" w:space="0" w:color="000000"/>
              <w:right w:val="single" w:sz="4" w:space="0" w:color="000000"/>
            </w:tcBorders>
            <w:shd w:val="clear" w:color="auto" w:fill="auto"/>
          </w:tcPr>
          <w:p w14:paraId="091726FD" w14:textId="77777777" w:rsidR="00B248BB" w:rsidRDefault="00B248BB">
            <w:pPr>
              <w:pStyle w:val="TableContents"/>
            </w:pPr>
            <w:r>
              <w:rPr>
                <w:vertAlign w:val="superscript"/>
              </w:rPr>
              <w:t>2</w:t>
            </w:r>
            <w:r>
              <w:t> Bei mangelhafter Organisation oder ungenügendem Stiftungsvermögen trifft der Gemeinderat die erforderlichen Massnahmen gemäss § 9.</w:t>
            </w:r>
          </w:p>
        </w:tc>
      </w:tr>
      <w:tr w:rsidR="00B248BB" w14:paraId="6488EA2C"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1204FDCA" w14:textId="77777777" w:rsidR="00B248BB" w:rsidRDefault="00B248BB">
            <w:pPr>
              <w:pStyle w:val="TableContents"/>
            </w:pPr>
            <w:r>
              <w:rPr>
                <w:b/>
                <w:bCs/>
              </w:rPr>
              <w:t>§  3</w:t>
            </w:r>
            <w:r>
              <w:br/>
            </w:r>
            <w:r>
              <w:rPr>
                <w:sz w:val="14"/>
              </w:rPr>
              <w:t>Bestätigung an das Handelsregisteramt</w:t>
            </w:r>
          </w:p>
        </w:tc>
      </w:tr>
      <w:tr w:rsidR="00B248BB" w14:paraId="73B93878" w14:textId="77777777" w:rsidTr="00B248BB">
        <w:trPr>
          <w:cantSplit/>
        </w:trPr>
        <w:tc>
          <w:tcPr>
            <w:tcW w:w="14346" w:type="dxa"/>
            <w:tcBorders>
              <w:left w:val="single" w:sz="4" w:space="0" w:color="000000"/>
              <w:right w:val="single" w:sz="4" w:space="0" w:color="000000"/>
            </w:tcBorders>
            <w:shd w:val="clear" w:color="auto" w:fill="auto"/>
          </w:tcPr>
          <w:p w14:paraId="738C983C" w14:textId="77777777" w:rsidR="00B248BB" w:rsidRDefault="00B248BB">
            <w:pPr>
              <w:pStyle w:val="TableContents"/>
            </w:pPr>
            <w:r>
              <w:rPr>
                <w:vertAlign w:val="superscript"/>
              </w:rPr>
              <w:t>1</w:t>
            </w:r>
            <w:r>
              <w:t> Hält der Gemeinderat den Errichtungsakt für rechtmässig und seine eigene Zuständigkeit für gegeben, verfügt er die Übernahme der Aufsicht und stellt diese dem Handelsregisteramt zu.</w:t>
            </w:r>
          </w:p>
        </w:tc>
      </w:tr>
      <w:tr w:rsidR="00B248BB" w14:paraId="70319957"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23B84B68" w14:textId="77777777" w:rsidR="00B248BB" w:rsidRDefault="00B248BB">
            <w:pPr>
              <w:pStyle w:val="TableContents"/>
            </w:pPr>
            <w:r>
              <w:rPr>
                <w:b/>
                <w:bCs/>
              </w:rPr>
              <w:lastRenderedPageBreak/>
              <w:t>§  4</w:t>
            </w:r>
            <w:r>
              <w:br/>
            </w:r>
            <w:r>
              <w:rPr>
                <w:sz w:val="14"/>
              </w:rPr>
              <w:t>Verfahren bei Sitzverlegung</w:t>
            </w:r>
          </w:p>
        </w:tc>
      </w:tr>
      <w:tr w:rsidR="00B248BB" w14:paraId="284591EB" w14:textId="77777777" w:rsidTr="00B248BB">
        <w:trPr>
          <w:cantSplit/>
        </w:trPr>
        <w:tc>
          <w:tcPr>
            <w:tcW w:w="14346" w:type="dxa"/>
            <w:tcBorders>
              <w:left w:val="single" w:sz="4" w:space="0" w:color="000000"/>
              <w:right w:val="single" w:sz="4" w:space="0" w:color="000000"/>
            </w:tcBorders>
            <w:shd w:val="clear" w:color="auto" w:fill="auto"/>
          </w:tcPr>
          <w:p w14:paraId="39D4802A" w14:textId="77777777" w:rsidR="00B248BB" w:rsidRDefault="00B248BB">
            <w:pPr>
              <w:pStyle w:val="TableContents"/>
            </w:pPr>
            <w:r>
              <w:rPr>
                <w:vertAlign w:val="superscript"/>
              </w:rPr>
              <w:t>1</w:t>
            </w:r>
            <w:r>
              <w:t> Das Verfahren gemäss den §§ 2–3 ist auch bei Sitzverlegungen von Stiftungen von einer Gemeinde in eine andere anzuwenden.</w:t>
            </w:r>
          </w:p>
        </w:tc>
      </w:tr>
      <w:tr w:rsidR="00B248BB" w14:paraId="43A3BE7E" w14:textId="77777777" w:rsidTr="00B248BB">
        <w:tc>
          <w:tcPr>
            <w:tcW w:w="14346" w:type="dxa"/>
            <w:tcBorders>
              <w:top w:val="single" w:sz="4" w:space="0" w:color="000000"/>
              <w:left w:val="single" w:sz="4" w:space="0" w:color="000000"/>
              <w:right w:val="single" w:sz="4" w:space="0" w:color="000000"/>
            </w:tcBorders>
            <w:shd w:val="clear" w:color="auto" w:fill="auto"/>
          </w:tcPr>
          <w:p w14:paraId="0FFBA2DD" w14:textId="77777777" w:rsidR="00B248BB" w:rsidRDefault="00B248BB">
            <w:pPr>
              <w:pStyle w:val="TableContents"/>
            </w:pPr>
            <w:r>
              <w:rPr>
                <w:b/>
                <w:bCs/>
                <w:sz w:val="22"/>
              </w:rPr>
              <w:t>2 Befreiung von der Revisionspflicht und Pflichten der Stiftungen</w:t>
            </w:r>
          </w:p>
        </w:tc>
      </w:tr>
      <w:tr w:rsidR="00B248BB" w14:paraId="6D65C8A5"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7BCFC92D" w14:textId="77777777" w:rsidR="00B248BB" w:rsidRDefault="00B248BB">
            <w:pPr>
              <w:pStyle w:val="TableContents"/>
            </w:pPr>
            <w:r>
              <w:rPr>
                <w:b/>
                <w:bCs/>
              </w:rPr>
              <w:t>§  5</w:t>
            </w:r>
            <w:r>
              <w:br/>
            </w:r>
            <w:r>
              <w:rPr>
                <w:sz w:val="14"/>
              </w:rPr>
              <w:t>Befreiung von der Revisionspflicht</w:t>
            </w:r>
          </w:p>
        </w:tc>
      </w:tr>
      <w:tr w:rsidR="00B248BB" w14:paraId="4E043017" w14:textId="77777777" w:rsidTr="00B248BB">
        <w:trPr>
          <w:cantSplit/>
        </w:trPr>
        <w:tc>
          <w:tcPr>
            <w:tcW w:w="14346" w:type="dxa"/>
            <w:tcBorders>
              <w:left w:val="single" w:sz="4" w:space="0" w:color="000000"/>
              <w:right w:val="single" w:sz="4" w:space="0" w:color="000000"/>
            </w:tcBorders>
            <w:shd w:val="clear" w:color="auto" w:fill="auto"/>
          </w:tcPr>
          <w:p w14:paraId="74CF412C" w14:textId="77777777" w:rsidR="00B248BB" w:rsidRDefault="00B248BB">
            <w:pPr>
              <w:pStyle w:val="TableContents"/>
            </w:pPr>
            <w:r>
              <w:rPr>
                <w:vertAlign w:val="superscript"/>
              </w:rPr>
              <w:t>1</w:t>
            </w:r>
            <w:r>
              <w:t> Der Gemeinderat kann die Stiftung mittels Verfügung von der Pflicht befreien, eine Revisionsstelle zu bezeichnen, wenn die Voraussetzungen nach Art. 83b ZGB sowie der Verordnung über die Revisionsstellen von Stiftungen</w:t>
            </w:r>
            <w:r>
              <w:rPr>
                <w:rStyle w:val="Funotenzeichen"/>
                <w:sz w:val="20"/>
              </w:rPr>
              <w:footnoteReference w:id="2"/>
            </w:r>
            <w:r>
              <w:rPr>
                <w:rStyle w:val="Funotenzeichen"/>
                <w:sz w:val="20"/>
              </w:rPr>
              <w:t>)</w:t>
            </w:r>
            <w:r>
              <w:t> erfüllt sind und einfache finanzielle Verhältnisse vorliegen. Diese Befreiung ist jederzeit widerrufbar.</w:t>
            </w:r>
          </w:p>
        </w:tc>
      </w:tr>
      <w:tr w:rsidR="00B248BB" w14:paraId="06857EDF" w14:textId="77777777" w:rsidTr="00B248BB">
        <w:trPr>
          <w:cantSplit/>
        </w:trPr>
        <w:tc>
          <w:tcPr>
            <w:tcW w:w="14346" w:type="dxa"/>
            <w:tcBorders>
              <w:left w:val="single" w:sz="4" w:space="0" w:color="000000"/>
              <w:right w:val="single" w:sz="4" w:space="0" w:color="000000"/>
            </w:tcBorders>
            <w:shd w:val="clear" w:color="auto" w:fill="auto"/>
          </w:tcPr>
          <w:p w14:paraId="11B5CCFB" w14:textId="77777777" w:rsidR="00B248BB" w:rsidRDefault="00B248BB">
            <w:pPr>
              <w:pStyle w:val="TableContents"/>
            </w:pPr>
            <w:r>
              <w:rPr>
                <w:vertAlign w:val="superscript"/>
              </w:rPr>
              <w:t>2</w:t>
            </w:r>
            <w:r>
              <w:t> Das Gesuch um Befreiung ist dem Gemeinderat spätestens drei Monate vor dem Rechnungsabschluss der Stiftung einzureichen.</w:t>
            </w:r>
          </w:p>
        </w:tc>
      </w:tr>
      <w:tr w:rsidR="00B248BB" w14:paraId="01BD2600" w14:textId="77777777" w:rsidTr="00B248BB">
        <w:trPr>
          <w:cantSplit/>
        </w:trPr>
        <w:tc>
          <w:tcPr>
            <w:tcW w:w="14346" w:type="dxa"/>
            <w:tcBorders>
              <w:left w:val="single" w:sz="4" w:space="0" w:color="000000"/>
              <w:right w:val="single" w:sz="4" w:space="0" w:color="000000"/>
            </w:tcBorders>
            <w:shd w:val="clear" w:color="auto" w:fill="auto"/>
          </w:tcPr>
          <w:p w14:paraId="4A60E1A4" w14:textId="77777777" w:rsidR="00B248BB" w:rsidRDefault="00B248BB">
            <w:pPr>
              <w:pStyle w:val="TableContents"/>
            </w:pPr>
            <w:r>
              <w:rPr>
                <w:vertAlign w:val="superscript"/>
              </w:rPr>
              <w:t>3</w:t>
            </w:r>
            <w:r>
              <w:t> Die Befreiung erfolgt mit Wirkung für das nächste Rechnungsjahr.</w:t>
            </w:r>
          </w:p>
        </w:tc>
      </w:tr>
      <w:tr w:rsidR="00B248BB" w14:paraId="2E467257" w14:textId="77777777" w:rsidTr="00B248BB">
        <w:trPr>
          <w:cantSplit/>
        </w:trPr>
        <w:tc>
          <w:tcPr>
            <w:tcW w:w="14346" w:type="dxa"/>
            <w:tcBorders>
              <w:left w:val="single" w:sz="4" w:space="0" w:color="000000"/>
              <w:right w:val="single" w:sz="4" w:space="0" w:color="000000"/>
            </w:tcBorders>
            <w:shd w:val="clear" w:color="auto" w:fill="auto"/>
          </w:tcPr>
          <w:p w14:paraId="5067842C" w14:textId="77777777" w:rsidR="00B248BB" w:rsidRDefault="00B248BB">
            <w:pPr>
              <w:pStyle w:val="TableContents"/>
            </w:pPr>
            <w:r>
              <w:rPr>
                <w:vertAlign w:val="superscript"/>
              </w:rPr>
              <w:t>4</w:t>
            </w:r>
            <w:r>
              <w:t> Ist die Stiftung von der Pflicht befreit, eine Revisionsstelle zu bezeichnen, so muss sie bestätigen, dass:</w:t>
            </w:r>
          </w:p>
        </w:tc>
      </w:tr>
      <w:tr w:rsidR="00B248BB" w14:paraId="2F15D295" w14:textId="77777777" w:rsidTr="00B248BB">
        <w:trPr>
          <w:cantSplit/>
        </w:trPr>
        <w:tc>
          <w:tcPr>
            <w:tcW w:w="14346" w:type="dxa"/>
            <w:tcBorders>
              <w:left w:val="single" w:sz="4" w:space="0" w:color="000000"/>
              <w:right w:val="single" w:sz="4" w:space="0" w:color="000000"/>
            </w:tcBorders>
            <w:shd w:val="clear" w:color="auto" w:fill="auto"/>
          </w:tcPr>
          <w:p w14:paraId="5F9D42BA" w14:textId="77777777" w:rsidR="00B248BB" w:rsidRDefault="00B248BB">
            <w:pPr>
              <w:pStyle w:val="TableContents"/>
              <w:ind w:left="149" w:right="3" w:hanging="189"/>
            </w:pPr>
            <w:r>
              <w:t>a. die Jahresrechnung vollständig ist und alle relevanten Geschäftsfälle und Sachverhalte gesetzeskonform abbildet (Vollständigkeitserklärung),</w:t>
            </w:r>
          </w:p>
        </w:tc>
      </w:tr>
      <w:tr w:rsidR="00B248BB" w14:paraId="6E1601D4" w14:textId="77777777" w:rsidTr="00B248BB">
        <w:trPr>
          <w:cantSplit/>
        </w:trPr>
        <w:tc>
          <w:tcPr>
            <w:tcW w:w="14346" w:type="dxa"/>
            <w:tcBorders>
              <w:left w:val="single" w:sz="4" w:space="0" w:color="000000"/>
              <w:right w:val="single" w:sz="4" w:space="0" w:color="000000"/>
            </w:tcBorders>
            <w:shd w:val="clear" w:color="auto" w:fill="auto"/>
          </w:tcPr>
          <w:p w14:paraId="733C5F04" w14:textId="77777777" w:rsidR="00B248BB" w:rsidRDefault="00B248BB">
            <w:pPr>
              <w:pStyle w:val="TableContents"/>
              <w:ind w:left="149" w:right="3" w:hanging="189"/>
            </w:pPr>
            <w:r>
              <w:t>b. die Bilanz zu Verkehrswerten erstellt ist,</w:t>
            </w:r>
          </w:p>
        </w:tc>
      </w:tr>
      <w:tr w:rsidR="00B248BB" w14:paraId="0B3BDFDF" w14:textId="77777777" w:rsidTr="00B248BB">
        <w:trPr>
          <w:cantSplit/>
        </w:trPr>
        <w:tc>
          <w:tcPr>
            <w:tcW w:w="14346" w:type="dxa"/>
            <w:tcBorders>
              <w:left w:val="single" w:sz="4" w:space="0" w:color="000000"/>
              <w:right w:val="single" w:sz="4" w:space="0" w:color="000000"/>
            </w:tcBorders>
            <w:shd w:val="clear" w:color="auto" w:fill="auto"/>
          </w:tcPr>
          <w:p w14:paraId="5D511913" w14:textId="77777777" w:rsidR="00B248BB" w:rsidRDefault="00B248BB">
            <w:pPr>
              <w:pStyle w:val="TableContents"/>
              <w:ind w:left="149" w:right="3" w:hanging="189"/>
            </w:pPr>
            <w:r>
              <w:t>c. das Vermögen dem Zweck entsprechend verwendet worden ist und</w:t>
            </w:r>
          </w:p>
        </w:tc>
      </w:tr>
      <w:tr w:rsidR="00B248BB" w14:paraId="3B8ED7D9" w14:textId="77777777" w:rsidTr="00B248BB">
        <w:trPr>
          <w:cantSplit/>
        </w:trPr>
        <w:tc>
          <w:tcPr>
            <w:tcW w:w="14346" w:type="dxa"/>
            <w:tcBorders>
              <w:left w:val="single" w:sz="4" w:space="0" w:color="000000"/>
              <w:right w:val="single" w:sz="4" w:space="0" w:color="000000"/>
            </w:tcBorders>
            <w:shd w:val="clear" w:color="auto" w:fill="auto"/>
          </w:tcPr>
          <w:p w14:paraId="13082C0E" w14:textId="77777777" w:rsidR="00B248BB" w:rsidRDefault="00B248BB">
            <w:pPr>
              <w:pStyle w:val="TableContents"/>
              <w:ind w:left="149" w:right="3" w:hanging="189"/>
            </w:pPr>
            <w:r>
              <w:t>d. die Voraussetzungen für die Befreiung weiterhin gegeben sind.</w:t>
            </w:r>
          </w:p>
        </w:tc>
      </w:tr>
      <w:tr w:rsidR="00B248BB" w14:paraId="568EB7A1"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71FB7399" w14:textId="77777777" w:rsidR="00B248BB" w:rsidRDefault="00B248BB">
            <w:pPr>
              <w:pStyle w:val="TableContents"/>
            </w:pPr>
            <w:r>
              <w:rPr>
                <w:b/>
                <w:bCs/>
              </w:rPr>
              <w:t>§  6</w:t>
            </w:r>
            <w:r>
              <w:br/>
            </w:r>
            <w:r>
              <w:rPr>
                <w:sz w:val="14"/>
              </w:rPr>
              <w:t>Berichterstattung und Rechnungsablage</w:t>
            </w:r>
          </w:p>
        </w:tc>
      </w:tr>
      <w:tr w:rsidR="00B248BB" w14:paraId="54C67B68" w14:textId="77777777" w:rsidTr="00B248BB">
        <w:trPr>
          <w:cantSplit/>
        </w:trPr>
        <w:tc>
          <w:tcPr>
            <w:tcW w:w="14346" w:type="dxa"/>
            <w:tcBorders>
              <w:left w:val="single" w:sz="4" w:space="0" w:color="000000"/>
              <w:right w:val="single" w:sz="4" w:space="0" w:color="000000"/>
            </w:tcBorders>
            <w:shd w:val="clear" w:color="auto" w:fill="auto"/>
          </w:tcPr>
          <w:p w14:paraId="3C278FDA" w14:textId="77777777" w:rsidR="00B248BB" w:rsidRDefault="00B248BB">
            <w:pPr>
              <w:pStyle w:val="TableContents"/>
            </w:pPr>
            <w:r>
              <w:rPr>
                <w:vertAlign w:val="superscript"/>
              </w:rPr>
              <w:t>1</w:t>
            </w:r>
            <w:r>
              <w:t> Die Organe der Stiftungen reichen unaufgefordert binnen 6 Monaten nach Ablauf des Geschäftsjahres dem Gemeinderat folgende Unterlagen ein:</w:t>
            </w:r>
          </w:p>
        </w:tc>
      </w:tr>
      <w:tr w:rsidR="00B248BB" w14:paraId="0A5F0E06" w14:textId="77777777" w:rsidTr="00B248BB">
        <w:trPr>
          <w:cantSplit/>
        </w:trPr>
        <w:tc>
          <w:tcPr>
            <w:tcW w:w="14346" w:type="dxa"/>
            <w:tcBorders>
              <w:left w:val="single" w:sz="4" w:space="0" w:color="000000"/>
              <w:right w:val="single" w:sz="4" w:space="0" w:color="000000"/>
            </w:tcBorders>
            <w:shd w:val="clear" w:color="auto" w:fill="auto"/>
          </w:tcPr>
          <w:p w14:paraId="5D791D1F" w14:textId="77777777" w:rsidR="00B248BB" w:rsidRDefault="00B248BB">
            <w:pPr>
              <w:pStyle w:val="TableContents"/>
              <w:ind w:left="149" w:right="3" w:hanging="189"/>
            </w:pPr>
            <w:r>
              <w:t>a. die vom Stiftungsrat genehmigte, rechtsgültig unterzeichnete Jahresrechnung, bestehend aus Bilanz und Betriebsrechnung mit den Vorjahreszahlen und Anhang,</w:t>
            </w:r>
          </w:p>
        </w:tc>
      </w:tr>
      <w:tr w:rsidR="00B248BB" w14:paraId="388DC8A7" w14:textId="77777777" w:rsidTr="00B248BB">
        <w:trPr>
          <w:cantSplit/>
        </w:trPr>
        <w:tc>
          <w:tcPr>
            <w:tcW w:w="14346" w:type="dxa"/>
            <w:tcBorders>
              <w:left w:val="single" w:sz="4" w:space="0" w:color="000000"/>
              <w:right w:val="single" w:sz="4" w:space="0" w:color="000000"/>
            </w:tcBorders>
            <w:shd w:val="clear" w:color="auto" w:fill="auto"/>
          </w:tcPr>
          <w:p w14:paraId="7BA9B4E6" w14:textId="77777777" w:rsidR="00B248BB" w:rsidRDefault="00B248BB">
            <w:pPr>
              <w:pStyle w:val="TableContents"/>
              <w:ind w:left="149" w:right="3" w:hanging="189"/>
            </w:pPr>
            <w:r>
              <w:lastRenderedPageBreak/>
              <w:t>b. eine Auflistung des Gesamtbetrags, welcher dem obersten Stiftungsorgan und der allfälligen Geschäftsleitung direkt oder indirekt vergütet wurde im Sinne von Art. 734a Abs. 2 des Obligationenrechts</w:t>
            </w:r>
            <w:r>
              <w:rPr>
                <w:rStyle w:val="Funotenzeichen"/>
                <w:sz w:val="20"/>
              </w:rPr>
              <w:footnoteReference w:id="3"/>
            </w:r>
            <w:r>
              <w:rPr>
                <w:rStyle w:val="Funotenzeichen"/>
                <w:sz w:val="20"/>
              </w:rPr>
              <w:t>)</w:t>
            </w:r>
            <w:r>
              <w:t>,</w:t>
            </w:r>
          </w:p>
        </w:tc>
      </w:tr>
      <w:tr w:rsidR="00B248BB" w14:paraId="600ED813" w14:textId="77777777" w:rsidTr="00B248BB">
        <w:trPr>
          <w:cantSplit/>
        </w:trPr>
        <w:tc>
          <w:tcPr>
            <w:tcW w:w="14346" w:type="dxa"/>
            <w:tcBorders>
              <w:left w:val="single" w:sz="4" w:space="0" w:color="000000"/>
              <w:right w:val="single" w:sz="4" w:space="0" w:color="000000"/>
            </w:tcBorders>
            <w:shd w:val="clear" w:color="auto" w:fill="auto"/>
          </w:tcPr>
          <w:p w14:paraId="32577421" w14:textId="77777777" w:rsidR="00B248BB" w:rsidRDefault="00B248BB">
            <w:pPr>
              <w:pStyle w:val="TableContents"/>
              <w:ind w:left="149" w:right="3" w:hanging="189"/>
            </w:pPr>
            <w:r>
              <w:t>c. das Protokoll betreffend die Genehmigung der Jahresrechnung,</w:t>
            </w:r>
          </w:p>
        </w:tc>
      </w:tr>
      <w:tr w:rsidR="00B248BB" w14:paraId="4E993EFC" w14:textId="77777777" w:rsidTr="00B248BB">
        <w:trPr>
          <w:cantSplit/>
        </w:trPr>
        <w:tc>
          <w:tcPr>
            <w:tcW w:w="14346" w:type="dxa"/>
            <w:tcBorders>
              <w:left w:val="single" w:sz="4" w:space="0" w:color="000000"/>
              <w:right w:val="single" w:sz="4" w:space="0" w:color="000000"/>
            </w:tcBorders>
            <w:shd w:val="clear" w:color="auto" w:fill="auto"/>
          </w:tcPr>
          <w:p w14:paraId="348432AF" w14:textId="77777777" w:rsidR="00B248BB" w:rsidRDefault="00B248BB">
            <w:pPr>
              <w:pStyle w:val="TableContents"/>
              <w:ind w:left="149" w:right="3" w:hanging="189"/>
            </w:pPr>
            <w:r>
              <w:t>d. den Bericht der Revisionsstelle, soweit die Stiftung nicht nach § 5 davon befreit ist,</w:t>
            </w:r>
          </w:p>
        </w:tc>
      </w:tr>
      <w:tr w:rsidR="00B248BB" w14:paraId="1E59B6CF" w14:textId="77777777" w:rsidTr="00B248BB">
        <w:trPr>
          <w:cantSplit/>
        </w:trPr>
        <w:tc>
          <w:tcPr>
            <w:tcW w:w="14346" w:type="dxa"/>
            <w:tcBorders>
              <w:left w:val="single" w:sz="4" w:space="0" w:color="000000"/>
              <w:right w:val="single" w:sz="4" w:space="0" w:color="000000"/>
            </w:tcBorders>
            <w:shd w:val="clear" w:color="auto" w:fill="auto"/>
          </w:tcPr>
          <w:p w14:paraId="68123A76" w14:textId="77777777" w:rsidR="00B248BB" w:rsidRDefault="00B248BB">
            <w:pPr>
              <w:pStyle w:val="TableContents"/>
              <w:ind w:left="149" w:right="3" w:hanging="189"/>
            </w:pPr>
            <w:r>
              <w:t>e. den Bericht über die Tätigkeit der Stiftung,</w:t>
            </w:r>
          </w:p>
        </w:tc>
      </w:tr>
      <w:tr w:rsidR="00B248BB" w14:paraId="5096C2FC" w14:textId="77777777" w:rsidTr="00B248BB">
        <w:trPr>
          <w:cantSplit/>
        </w:trPr>
        <w:tc>
          <w:tcPr>
            <w:tcW w:w="14346" w:type="dxa"/>
            <w:tcBorders>
              <w:left w:val="single" w:sz="4" w:space="0" w:color="000000"/>
              <w:right w:val="single" w:sz="4" w:space="0" w:color="000000"/>
            </w:tcBorders>
            <w:shd w:val="clear" w:color="auto" w:fill="auto"/>
          </w:tcPr>
          <w:p w14:paraId="72C6D2ED" w14:textId="77777777" w:rsidR="00B248BB" w:rsidRDefault="00B248BB">
            <w:pPr>
              <w:pStyle w:val="TableContents"/>
              <w:ind w:left="149" w:right="3" w:hanging="189"/>
            </w:pPr>
            <w:r>
              <w:t>f allfällige weitere vom Gemeinderat einverlangte Unterlagen.</w:t>
            </w:r>
          </w:p>
        </w:tc>
      </w:tr>
      <w:tr w:rsidR="00B248BB" w14:paraId="5375EAD7" w14:textId="77777777" w:rsidTr="00B248BB">
        <w:trPr>
          <w:cantSplit/>
        </w:trPr>
        <w:tc>
          <w:tcPr>
            <w:tcW w:w="14346" w:type="dxa"/>
            <w:tcBorders>
              <w:left w:val="single" w:sz="4" w:space="0" w:color="000000"/>
              <w:right w:val="single" w:sz="4" w:space="0" w:color="000000"/>
            </w:tcBorders>
            <w:shd w:val="clear" w:color="auto" w:fill="auto"/>
          </w:tcPr>
          <w:p w14:paraId="42C3252C" w14:textId="77777777" w:rsidR="00B248BB" w:rsidRDefault="00B248BB">
            <w:pPr>
              <w:pStyle w:val="TableContents"/>
            </w:pPr>
            <w:r>
              <w:rPr>
                <w:vertAlign w:val="superscript"/>
              </w:rPr>
              <w:t>2</w:t>
            </w:r>
            <w:r>
              <w:t> Die Vorschriften des Obligationenrechts über die kaufmännische Buchführung und Rechnungslegung gelten sinngemäss.</w:t>
            </w:r>
          </w:p>
        </w:tc>
      </w:tr>
      <w:tr w:rsidR="00B248BB" w14:paraId="57B4ADD7" w14:textId="77777777" w:rsidTr="00B248BB">
        <w:trPr>
          <w:cantSplit/>
        </w:trPr>
        <w:tc>
          <w:tcPr>
            <w:tcW w:w="14346" w:type="dxa"/>
            <w:tcBorders>
              <w:left w:val="single" w:sz="4" w:space="0" w:color="000000"/>
              <w:right w:val="single" w:sz="4" w:space="0" w:color="000000"/>
            </w:tcBorders>
            <w:shd w:val="clear" w:color="auto" w:fill="auto"/>
          </w:tcPr>
          <w:p w14:paraId="6DBF1C7C" w14:textId="77777777" w:rsidR="00B248BB" w:rsidRDefault="00B248BB">
            <w:pPr>
              <w:pStyle w:val="TableContents"/>
            </w:pPr>
            <w:r>
              <w:rPr>
                <w:vertAlign w:val="superscript"/>
              </w:rPr>
              <w:t>3</w:t>
            </w:r>
            <w:r>
              <w:t> Die Berichterstattungsunterlagen sind im Original und rechtsgültig unterzeichnet einzureichen.</w:t>
            </w:r>
          </w:p>
        </w:tc>
      </w:tr>
      <w:tr w:rsidR="00B248BB" w14:paraId="02EF6672" w14:textId="77777777" w:rsidTr="00B248BB">
        <w:trPr>
          <w:cantSplit/>
        </w:trPr>
        <w:tc>
          <w:tcPr>
            <w:tcW w:w="14346" w:type="dxa"/>
            <w:tcBorders>
              <w:left w:val="single" w:sz="4" w:space="0" w:color="000000"/>
              <w:right w:val="single" w:sz="4" w:space="0" w:color="000000"/>
            </w:tcBorders>
            <w:shd w:val="clear" w:color="auto" w:fill="auto"/>
          </w:tcPr>
          <w:p w14:paraId="497E076B" w14:textId="77777777" w:rsidR="00B248BB" w:rsidRDefault="00B248BB">
            <w:pPr>
              <w:pStyle w:val="TableContents"/>
            </w:pPr>
            <w:r>
              <w:rPr>
                <w:vertAlign w:val="superscript"/>
              </w:rPr>
              <w:t>4</w:t>
            </w:r>
            <w:r>
              <w:t> Auf Gesuch hin kann der Gemeinderat die Frist zur Einreichung der Unterlagen erstrecken.</w:t>
            </w:r>
          </w:p>
        </w:tc>
      </w:tr>
      <w:tr w:rsidR="00B248BB" w14:paraId="07ECEF62"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3539DD56" w14:textId="77777777" w:rsidR="00B248BB" w:rsidRDefault="00B248BB">
            <w:pPr>
              <w:pStyle w:val="TableContents"/>
            </w:pPr>
            <w:r>
              <w:rPr>
                <w:b/>
                <w:bCs/>
              </w:rPr>
              <w:t>§  7</w:t>
            </w:r>
            <w:r>
              <w:br/>
            </w:r>
            <w:r>
              <w:rPr>
                <w:sz w:val="14"/>
              </w:rPr>
              <w:t>Form der Einreichung</w:t>
            </w:r>
          </w:p>
        </w:tc>
      </w:tr>
      <w:tr w:rsidR="00B248BB" w14:paraId="7D31F7C9" w14:textId="77777777" w:rsidTr="00B248BB">
        <w:trPr>
          <w:cantSplit/>
        </w:trPr>
        <w:tc>
          <w:tcPr>
            <w:tcW w:w="14346" w:type="dxa"/>
            <w:tcBorders>
              <w:left w:val="single" w:sz="4" w:space="0" w:color="000000"/>
              <w:right w:val="single" w:sz="4" w:space="0" w:color="000000"/>
            </w:tcBorders>
            <w:shd w:val="clear" w:color="auto" w:fill="auto"/>
          </w:tcPr>
          <w:p w14:paraId="27A8437E" w14:textId="77777777" w:rsidR="00B248BB" w:rsidRDefault="00B248BB">
            <w:pPr>
              <w:pStyle w:val="TableContents"/>
            </w:pPr>
            <w:r>
              <w:rPr>
                <w:vertAlign w:val="superscript"/>
              </w:rPr>
              <w:t>1</w:t>
            </w:r>
            <w:r>
              <w:t> Die Unterlagen sind dem Gemeinderat in geeigneter Form mit gültiger Signatur zuzustellen.</w:t>
            </w:r>
          </w:p>
        </w:tc>
      </w:tr>
      <w:tr w:rsidR="00B248BB" w14:paraId="578DFE49" w14:textId="77777777" w:rsidTr="00B248BB">
        <w:tc>
          <w:tcPr>
            <w:tcW w:w="14346" w:type="dxa"/>
            <w:tcBorders>
              <w:top w:val="single" w:sz="4" w:space="0" w:color="000000"/>
              <w:left w:val="single" w:sz="4" w:space="0" w:color="000000"/>
              <w:right w:val="single" w:sz="4" w:space="0" w:color="000000"/>
            </w:tcBorders>
            <w:shd w:val="clear" w:color="auto" w:fill="auto"/>
          </w:tcPr>
          <w:p w14:paraId="00FBD103" w14:textId="77777777" w:rsidR="00B248BB" w:rsidRDefault="00B248BB">
            <w:pPr>
              <w:pStyle w:val="TableContents"/>
            </w:pPr>
            <w:r>
              <w:rPr>
                <w:b/>
                <w:bCs/>
                <w:sz w:val="22"/>
              </w:rPr>
              <w:t>3 Aufgaben des Gemeinderats</w:t>
            </w:r>
          </w:p>
        </w:tc>
      </w:tr>
      <w:tr w:rsidR="00B248BB" w14:paraId="10E5893E"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7D611813" w14:textId="77777777" w:rsidR="00B248BB" w:rsidRDefault="00B248BB">
            <w:pPr>
              <w:pStyle w:val="TableContents"/>
            </w:pPr>
            <w:r>
              <w:rPr>
                <w:b/>
                <w:bCs/>
              </w:rPr>
              <w:t>§  8</w:t>
            </w:r>
            <w:r>
              <w:br/>
            </w:r>
            <w:r>
              <w:rPr>
                <w:sz w:val="14"/>
              </w:rPr>
              <w:t>Prüfung</w:t>
            </w:r>
          </w:p>
        </w:tc>
      </w:tr>
      <w:tr w:rsidR="00B248BB" w14:paraId="257DBB4C" w14:textId="77777777" w:rsidTr="00B248BB">
        <w:trPr>
          <w:cantSplit/>
        </w:trPr>
        <w:tc>
          <w:tcPr>
            <w:tcW w:w="14346" w:type="dxa"/>
            <w:tcBorders>
              <w:left w:val="single" w:sz="4" w:space="0" w:color="000000"/>
              <w:right w:val="single" w:sz="4" w:space="0" w:color="000000"/>
            </w:tcBorders>
            <w:shd w:val="clear" w:color="auto" w:fill="auto"/>
          </w:tcPr>
          <w:p w14:paraId="50CEB835" w14:textId="77777777" w:rsidR="00B248BB" w:rsidRDefault="00B248BB">
            <w:pPr>
              <w:pStyle w:val="TableContents"/>
            </w:pPr>
            <w:r>
              <w:rPr>
                <w:vertAlign w:val="superscript"/>
              </w:rPr>
              <w:t>1</w:t>
            </w:r>
            <w:r>
              <w:t> Der Gemeinderat nimmt Einsicht in die jährliche Berichterstattung der Stiftung. Er prüft insbesondere:</w:t>
            </w:r>
          </w:p>
        </w:tc>
      </w:tr>
      <w:tr w:rsidR="00B248BB" w14:paraId="50A1ED67" w14:textId="77777777" w:rsidTr="00B248BB">
        <w:trPr>
          <w:cantSplit/>
        </w:trPr>
        <w:tc>
          <w:tcPr>
            <w:tcW w:w="14346" w:type="dxa"/>
            <w:tcBorders>
              <w:left w:val="single" w:sz="4" w:space="0" w:color="000000"/>
              <w:right w:val="single" w:sz="4" w:space="0" w:color="000000"/>
            </w:tcBorders>
            <w:shd w:val="clear" w:color="auto" w:fill="auto"/>
          </w:tcPr>
          <w:p w14:paraId="6387179E" w14:textId="77777777" w:rsidR="00B248BB" w:rsidRDefault="00B248BB">
            <w:pPr>
              <w:pStyle w:val="TableContents"/>
              <w:ind w:left="149" w:right="3" w:hanging="189"/>
            </w:pPr>
            <w:r>
              <w:t>a. die Organisation der Stiftung (Art. 83 ff. ZGB),</w:t>
            </w:r>
          </w:p>
        </w:tc>
      </w:tr>
      <w:tr w:rsidR="00B248BB" w14:paraId="5474D97A" w14:textId="77777777" w:rsidTr="00B248BB">
        <w:trPr>
          <w:cantSplit/>
        </w:trPr>
        <w:tc>
          <w:tcPr>
            <w:tcW w:w="14346" w:type="dxa"/>
            <w:tcBorders>
              <w:left w:val="single" w:sz="4" w:space="0" w:color="000000"/>
              <w:right w:val="single" w:sz="4" w:space="0" w:color="000000"/>
            </w:tcBorders>
            <w:shd w:val="clear" w:color="auto" w:fill="auto"/>
          </w:tcPr>
          <w:p w14:paraId="6F1D5C8F" w14:textId="77777777" w:rsidR="00B248BB" w:rsidRDefault="00B248BB">
            <w:pPr>
              <w:pStyle w:val="TableContents"/>
              <w:ind w:left="149" w:right="3" w:hanging="189"/>
            </w:pPr>
            <w:r>
              <w:t>b. die Vermögensverwendung (Art. 84 Abs. 2 ZGB),</w:t>
            </w:r>
          </w:p>
        </w:tc>
      </w:tr>
      <w:tr w:rsidR="00B248BB" w14:paraId="1047A739" w14:textId="77777777" w:rsidTr="00B248BB">
        <w:trPr>
          <w:cantSplit/>
        </w:trPr>
        <w:tc>
          <w:tcPr>
            <w:tcW w:w="14346" w:type="dxa"/>
            <w:tcBorders>
              <w:left w:val="single" w:sz="4" w:space="0" w:color="000000"/>
              <w:right w:val="single" w:sz="4" w:space="0" w:color="000000"/>
            </w:tcBorders>
            <w:shd w:val="clear" w:color="auto" w:fill="auto"/>
          </w:tcPr>
          <w:p w14:paraId="21C7FD28" w14:textId="77777777" w:rsidR="00B248BB" w:rsidRDefault="00B248BB">
            <w:pPr>
              <w:pStyle w:val="TableContents"/>
              <w:ind w:left="149" w:right="3" w:hanging="189"/>
            </w:pPr>
            <w:r>
              <w:t>c. die Anlage des Stiftungsvermögens nach den Grundsätzen einer sorgfältigen Kapitalanlage, insbesondere nach den Grundsätzen der Sicherheit, der Erzielung eines angemessenen Ertrages, der Risikoverteilung und der Liquidität,</w:t>
            </w:r>
          </w:p>
        </w:tc>
      </w:tr>
      <w:tr w:rsidR="00B248BB" w14:paraId="62D1279F" w14:textId="77777777" w:rsidTr="00B248BB">
        <w:trPr>
          <w:cantSplit/>
        </w:trPr>
        <w:tc>
          <w:tcPr>
            <w:tcW w:w="14346" w:type="dxa"/>
            <w:tcBorders>
              <w:left w:val="single" w:sz="4" w:space="0" w:color="000000"/>
              <w:right w:val="single" w:sz="4" w:space="0" w:color="000000"/>
            </w:tcBorders>
            <w:shd w:val="clear" w:color="auto" w:fill="auto"/>
          </w:tcPr>
          <w:p w14:paraId="27E6F852" w14:textId="77777777" w:rsidR="00B248BB" w:rsidRDefault="00B248BB">
            <w:pPr>
              <w:pStyle w:val="TableContents"/>
              <w:ind w:left="149" w:right="3" w:hanging="189"/>
            </w:pPr>
            <w:r>
              <w:t>d. die Übereinstimmung von Reglementen und anderen Erlassen der Stiftung mit der Urkunde und dem Gesetz.</w:t>
            </w:r>
          </w:p>
        </w:tc>
      </w:tr>
      <w:tr w:rsidR="00B248BB" w14:paraId="03D0CA7B"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0CE9E3B2" w14:textId="77777777" w:rsidR="00B248BB" w:rsidRDefault="00B248BB">
            <w:pPr>
              <w:pStyle w:val="TableContents"/>
            </w:pPr>
            <w:r>
              <w:rPr>
                <w:b/>
                <w:bCs/>
              </w:rPr>
              <w:lastRenderedPageBreak/>
              <w:t>§  9</w:t>
            </w:r>
            <w:r>
              <w:br/>
            </w:r>
            <w:r>
              <w:rPr>
                <w:sz w:val="14"/>
              </w:rPr>
              <w:t>Aufsichtsmittel</w:t>
            </w:r>
          </w:p>
        </w:tc>
      </w:tr>
      <w:tr w:rsidR="00B248BB" w14:paraId="6F03249D" w14:textId="77777777" w:rsidTr="00B248BB">
        <w:trPr>
          <w:cantSplit/>
        </w:trPr>
        <w:tc>
          <w:tcPr>
            <w:tcW w:w="14346" w:type="dxa"/>
            <w:tcBorders>
              <w:left w:val="single" w:sz="4" w:space="0" w:color="000000"/>
              <w:right w:val="single" w:sz="4" w:space="0" w:color="000000"/>
            </w:tcBorders>
            <w:shd w:val="clear" w:color="auto" w:fill="auto"/>
          </w:tcPr>
          <w:p w14:paraId="7BF4879A" w14:textId="77777777" w:rsidR="00B248BB" w:rsidRDefault="00B248BB">
            <w:pPr>
              <w:pStyle w:val="TableContents"/>
            </w:pPr>
            <w:r>
              <w:rPr>
                <w:vertAlign w:val="superscript"/>
              </w:rPr>
              <w:t>1</w:t>
            </w:r>
            <w:r>
              <w:t> Zur Durchführung der Aufsicht ergreift der Gemeinderat alle erforderlichen Massnahmen. Er kann insbesondere:</w:t>
            </w:r>
          </w:p>
        </w:tc>
      </w:tr>
      <w:tr w:rsidR="00B248BB" w14:paraId="3AB541CE" w14:textId="77777777" w:rsidTr="00B248BB">
        <w:trPr>
          <w:cantSplit/>
        </w:trPr>
        <w:tc>
          <w:tcPr>
            <w:tcW w:w="14346" w:type="dxa"/>
            <w:tcBorders>
              <w:left w:val="single" w:sz="4" w:space="0" w:color="000000"/>
              <w:right w:val="single" w:sz="4" w:space="0" w:color="000000"/>
            </w:tcBorders>
            <w:shd w:val="clear" w:color="auto" w:fill="auto"/>
          </w:tcPr>
          <w:p w14:paraId="66A09D09" w14:textId="77777777" w:rsidR="00B248BB" w:rsidRDefault="00B248BB">
            <w:pPr>
              <w:pStyle w:val="TableContents"/>
              <w:ind w:left="149" w:right="3" w:hanging="189"/>
            </w:pPr>
            <w:r>
              <w:t>a. Weisungen erteilen,</w:t>
            </w:r>
          </w:p>
        </w:tc>
      </w:tr>
      <w:tr w:rsidR="00B248BB" w14:paraId="5D4CDA8C" w14:textId="77777777" w:rsidTr="00B248BB">
        <w:trPr>
          <w:cantSplit/>
        </w:trPr>
        <w:tc>
          <w:tcPr>
            <w:tcW w:w="14346" w:type="dxa"/>
            <w:tcBorders>
              <w:left w:val="single" w:sz="4" w:space="0" w:color="000000"/>
              <w:right w:val="single" w:sz="4" w:space="0" w:color="000000"/>
            </w:tcBorders>
            <w:shd w:val="clear" w:color="auto" w:fill="auto"/>
          </w:tcPr>
          <w:p w14:paraId="56AA4604" w14:textId="77777777" w:rsidR="00B248BB" w:rsidRDefault="00B248BB">
            <w:pPr>
              <w:pStyle w:val="TableContents"/>
              <w:ind w:left="149" w:right="3" w:hanging="189"/>
            </w:pPr>
            <w:r>
              <w:t>b. Gutachten und Expertisen anordnen,</w:t>
            </w:r>
          </w:p>
        </w:tc>
      </w:tr>
      <w:tr w:rsidR="00B248BB" w14:paraId="22B9959A" w14:textId="77777777" w:rsidTr="00B248BB">
        <w:trPr>
          <w:cantSplit/>
        </w:trPr>
        <w:tc>
          <w:tcPr>
            <w:tcW w:w="14346" w:type="dxa"/>
            <w:tcBorders>
              <w:left w:val="single" w:sz="4" w:space="0" w:color="000000"/>
              <w:right w:val="single" w:sz="4" w:space="0" w:color="000000"/>
            </w:tcBorders>
            <w:shd w:val="clear" w:color="auto" w:fill="auto"/>
          </w:tcPr>
          <w:p w14:paraId="6869178E" w14:textId="77777777" w:rsidR="00B248BB" w:rsidRDefault="00B248BB">
            <w:pPr>
              <w:pStyle w:val="TableContents"/>
              <w:ind w:left="149" w:right="3" w:hanging="189"/>
            </w:pPr>
            <w:r>
              <w:t>c. Ersatzvornahmen anordnen,</w:t>
            </w:r>
          </w:p>
        </w:tc>
      </w:tr>
      <w:tr w:rsidR="00B248BB" w14:paraId="3D11B2B8" w14:textId="77777777" w:rsidTr="00B248BB">
        <w:trPr>
          <w:cantSplit/>
        </w:trPr>
        <w:tc>
          <w:tcPr>
            <w:tcW w:w="14346" w:type="dxa"/>
            <w:tcBorders>
              <w:left w:val="single" w:sz="4" w:space="0" w:color="000000"/>
              <w:right w:val="single" w:sz="4" w:space="0" w:color="000000"/>
            </w:tcBorders>
            <w:shd w:val="clear" w:color="auto" w:fill="auto"/>
          </w:tcPr>
          <w:p w14:paraId="44AD07D1" w14:textId="77777777" w:rsidR="00B248BB" w:rsidRDefault="00B248BB">
            <w:pPr>
              <w:pStyle w:val="TableContents"/>
              <w:ind w:left="149" w:right="3" w:hanging="189"/>
            </w:pPr>
            <w:r>
              <w:t>d. Stiftungsorgane ermahnen, verwarnen oder abberufen,</w:t>
            </w:r>
          </w:p>
        </w:tc>
      </w:tr>
      <w:tr w:rsidR="00B248BB" w14:paraId="4A0D6AAB" w14:textId="77777777" w:rsidTr="00B248BB">
        <w:trPr>
          <w:cantSplit/>
        </w:trPr>
        <w:tc>
          <w:tcPr>
            <w:tcW w:w="14346" w:type="dxa"/>
            <w:tcBorders>
              <w:left w:val="single" w:sz="4" w:space="0" w:color="000000"/>
              <w:right w:val="single" w:sz="4" w:space="0" w:color="000000"/>
            </w:tcBorders>
            <w:shd w:val="clear" w:color="auto" w:fill="auto"/>
          </w:tcPr>
          <w:p w14:paraId="6B0215DB" w14:textId="77777777" w:rsidR="00B248BB" w:rsidRDefault="00B248BB">
            <w:pPr>
              <w:pStyle w:val="TableContents"/>
              <w:ind w:left="149" w:right="3" w:hanging="189"/>
            </w:pPr>
            <w:r>
              <w:t>e. amtliche Verwaltungen einsetzen,</w:t>
            </w:r>
          </w:p>
        </w:tc>
      </w:tr>
      <w:tr w:rsidR="00B248BB" w14:paraId="50E8D2A8" w14:textId="77777777" w:rsidTr="00B248BB">
        <w:trPr>
          <w:cantSplit/>
        </w:trPr>
        <w:tc>
          <w:tcPr>
            <w:tcW w:w="14346" w:type="dxa"/>
            <w:tcBorders>
              <w:left w:val="single" w:sz="4" w:space="0" w:color="000000"/>
              <w:right w:val="single" w:sz="4" w:space="0" w:color="000000"/>
            </w:tcBorders>
            <w:shd w:val="clear" w:color="auto" w:fill="auto"/>
          </w:tcPr>
          <w:p w14:paraId="7FC2028D" w14:textId="77777777" w:rsidR="00B248BB" w:rsidRDefault="00B248BB">
            <w:pPr>
              <w:pStyle w:val="TableContents"/>
              <w:ind w:left="149" w:right="3" w:hanging="189"/>
            </w:pPr>
            <w:r>
              <w:t>f. eine Revisionsstelle bei einer Stiftung ernennen oder abberufen,</w:t>
            </w:r>
          </w:p>
        </w:tc>
      </w:tr>
      <w:tr w:rsidR="00B248BB" w14:paraId="37D2A8FE" w14:textId="77777777" w:rsidTr="00B248BB">
        <w:trPr>
          <w:cantSplit/>
        </w:trPr>
        <w:tc>
          <w:tcPr>
            <w:tcW w:w="14346" w:type="dxa"/>
            <w:tcBorders>
              <w:left w:val="single" w:sz="4" w:space="0" w:color="000000"/>
              <w:right w:val="single" w:sz="4" w:space="0" w:color="000000"/>
            </w:tcBorders>
            <w:shd w:val="clear" w:color="auto" w:fill="auto"/>
          </w:tcPr>
          <w:p w14:paraId="0EE6658E" w14:textId="77777777" w:rsidR="00B248BB" w:rsidRDefault="00B248BB">
            <w:pPr>
              <w:pStyle w:val="TableContents"/>
              <w:ind w:left="149" w:right="3" w:hanging="189"/>
            </w:pPr>
            <w:r>
              <w:t>g. eine ordentliche Revision anordnen bei Stiftungen, welche der eingeschränkten Revision unterliegen,</w:t>
            </w:r>
          </w:p>
        </w:tc>
      </w:tr>
      <w:tr w:rsidR="00B248BB" w14:paraId="39EE7FEB" w14:textId="77777777" w:rsidTr="00B248BB">
        <w:trPr>
          <w:cantSplit/>
        </w:trPr>
        <w:tc>
          <w:tcPr>
            <w:tcW w:w="14346" w:type="dxa"/>
            <w:tcBorders>
              <w:left w:val="single" w:sz="4" w:space="0" w:color="000000"/>
              <w:right w:val="single" w:sz="4" w:space="0" w:color="000000"/>
            </w:tcBorders>
            <w:shd w:val="clear" w:color="auto" w:fill="auto"/>
          </w:tcPr>
          <w:p w14:paraId="27A9D8CA" w14:textId="77777777" w:rsidR="00B248BB" w:rsidRDefault="00B248BB">
            <w:pPr>
              <w:pStyle w:val="TableContents"/>
              <w:ind w:left="149" w:right="3" w:hanging="189"/>
            </w:pPr>
            <w:r>
              <w:t>h. Bussen oder Ordnungsbussen bis maximal CHF 500.– aussprechen,</w:t>
            </w:r>
          </w:p>
        </w:tc>
      </w:tr>
      <w:tr w:rsidR="00B248BB" w14:paraId="70CAB9A1" w14:textId="77777777" w:rsidTr="00B248BB">
        <w:trPr>
          <w:cantSplit/>
        </w:trPr>
        <w:tc>
          <w:tcPr>
            <w:tcW w:w="14346" w:type="dxa"/>
            <w:tcBorders>
              <w:left w:val="single" w:sz="4" w:space="0" w:color="000000"/>
              <w:right w:val="single" w:sz="4" w:space="0" w:color="000000"/>
            </w:tcBorders>
            <w:shd w:val="clear" w:color="auto" w:fill="auto"/>
          </w:tcPr>
          <w:p w14:paraId="0DAE3F9A" w14:textId="77777777" w:rsidR="00B248BB" w:rsidRDefault="00B248BB">
            <w:pPr>
              <w:pStyle w:val="TableContents"/>
              <w:ind w:left="149" w:right="3" w:hanging="189"/>
            </w:pPr>
            <w:r>
              <w:t>i. Strafanzeigen erstatten, insbesondere aufgrund von Art. 292 des Schweizerischen Strafgesetzbuches</w:t>
            </w:r>
            <w:r>
              <w:rPr>
                <w:rStyle w:val="Funotenzeichen"/>
                <w:sz w:val="20"/>
              </w:rPr>
              <w:footnoteReference w:id="4"/>
            </w:r>
            <w:r>
              <w:rPr>
                <w:rStyle w:val="Funotenzeichen"/>
                <w:sz w:val="20"/>
              </w:rPr>
              <w:t>)</w:t>
            </w:r>
            <w:r>
              <w:t>.</w:t>
            </w:r>
          </w:p>
        </w:tc>
      </w:tr>
      <w:tr w:rsidR="00B248BB" w14:paraId="39300F8D" w14:textId="77777777" w:rsidTr="00B248BB">
        <w:trPr>
          <w:cantSplit/>
        </w:trPr>
        <w:tc>
          <w:tcPr>
            <w:tcW w:w="14346" w:type="dxa"/>
            <w:tcBorders>
              <w:left w:val="single" w:sz="4" w:space="0" w:color="000000"/>
              <w:right w:val="single" w:sz="4" w:space="0" w:color="000000"/>
            </w:tcBorders>
            <w:shd w:val="clear" w:color="auto" w:fill="auto"/>
          </w:tcPr>
          <w:p w14:paraId="2C4048A8" w14:textId="77777777" w:rsidR="00B248BB" w:rsidRDefault="00B248BB">
            <w:pPr>
              <w:pStyle w:val="TableContents"/>
            </w:pPr>
            <w:r>
              <w:rPr>
                <w:vertAlign w:val="superscript"/>
              </w:rPr>
              <w:t>2</w:t>
            </w:r>
            <w:r>
              <w:t> Der Gemeinderat kann von sich aus oder auf Anzeige Dritter jederzeit vom Stiftungsrat Auskunft und die Herausgabe von sachdienlichen Unterlagen verlangen.</w:t>
            </w:r>
          </w:p>
        </w:tc>
      </w:tr>
      <w:tr w:rsidR="00B248BB" w14:paraId="13AC16AB" w14:textId="77777777" w:rsidTr="00B248BB">
        <w:trPr>
          <w:cantSplit/>
        </w:trPr>
        <w:tc>
          <w:tcPr>
            <w:tcW w:w="14346" w:type="dxa"/>
            <w:tcBorders>
              <w:left w:val="single" w:sz="4" w:space="0" w:color="000000"/>
              <w:right w:val="single" w:sz="4" w:space="0" w:color="000000"/>
            </w:tcBorders>
            <w:shd w:val="clear" w:color="auto" w:fill="auto"/>
          </w:tcPr>
          <w:p w14:paraId="03D168BF" w14:textId="77777777" w:rsidR="00B248BB" w:rsidRDefault="00B248BB">
            <w:pPr>
              <w:pStyle w:val="TableContents"/>
            </w:pPr>
            <w:r>
              <w:rPr>
                <w:vertAlign w:val="superscript"/>
              </w:rPr>
              <w:t>3</w:t>
            </w:r>
            <w:r>
              <w:t> Die Kosten für aufsichtsrechtliche Massnahmen gehen zulasten der betroffenen Stiftung. Bei der Abberufung einer Revisionsstelle gehen die Kosten zulasten der Revisionsstelle, die die Massnahme verursacht.</w:t>
            </w:r>
          </w:p>
        </w:tc>
      </w:tr>
      <w:tr w:rsidR="00B248BB" w14:paraId="1446A385"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4BEE6933" w14:textId="77777777" w:rsidR="00B248BB" w:rsidRDefault="00B248BB">
            <w:pPr>
              <w:pStyle w:val="TableContents"/>
            </w:pPr>
            <w:r>
              <w:rPr>
                <w:b/>
                <w:bCs/>
              </w:rPr>
              <w:t>§  10</w:t>
            </w:r>
            <w:r>
              <w:br/>
            </w:r>
            <w:r>
              <w:rPr>
                <w:sz w:val="14"/>
              </w:rPr>
              <w:t>Urkundenänderung der Stiftung</w:t>
            </w:r>
          </w:p>
        </w:tc>
      </w:tr>
      <w:tr w:rsidR="00B248BB" w14:paraId="7D960B75" w14:textId="77777777" w:rsidTr="00B248BB">
        <w:trPr>
          <w:cantSplit/>
        </w:trPr>
        <w:tc>
          <w:tcPr>
            <w:tcW w:w="14346" w:type="dxa"/>
            <w:tcBorders>
              <w:left w:val="single" w:sz="4" w:space="0" w:color="000000"/>
              <w:right w:val="single" w:sz="4" w:space="0" w:color="000000"/>
            </w:tcBorders>
            <w:shd w:val="clear" w:color="auto" w:fill="auto"/>
          </w:tcPr>
          <w:p w14:paraId="74FBDE8F" w14:textId="77777777" w:rsidR="00B248BB" w:rsidRDefault="00B248BB">
            <w:pPr>
              <w:pStyle w:val="TableContents"/>
            </w:pPr>
            <w:r>
              <w:rPr>
                <w:vertAlign w:val="superscript"/>
              </w:rPr>
              <w:t>1</w:t>
            </w:r>
            <w:r>
              <w:t> Der Gemeinderat stellt dem Regierungsrat Antrag zur Urkundenänderung einer Stiftung nach Art. 85, 86 und 86a ZGB aufgrund von Gesuchen des obersten Stiftungsorgans oder aufgrund von Verfügungen von Todes wegen.</w:t>
            </w:r>
          </w:p>
        </w:tc>
      </w:tr>
      <w:tr w:rsidR="00B248BB" w14:paraId="11BF0F20" w14:textId="77777777" w:rsidTr="00B248BB">
        <w:trPr>
          <w:cantSplit/>
        </w:trPr>
        <w:tc>
          <w:tcPr>
            <w:tcW w:w="14346" w:type="dxa"/>
            <w:tcBorders>
              <w:left w:val="single" w:sz="4" w:space="0" w:color="000000"/>
              <w:right w:val="single" w:sz="4" w:space="0" w:color="000000"/>
            </w:tcBorders>
            <w:shd w:val="clear" w:color="auto" w:fill="auto"/>
          </w:tcPr>
          <w:p w14:paraId="00427CEC" w14:textId="77777777" w:rsidR="00B248BB" w:rsidRDefault="00B248BB">
            <w:pPr>
              <w:pStyle w:val="TableContents"/>
            </w:pPr>
            <w:r>
              <w:rPr>
                <w:vertAlign w:val="superscript"/>
              </w:rPr>
              <w:t>2</w:t>
            </w:r>
            <w:r>
              <w:t> Das Gesuch umfasst:</w:t>
            </w:r>
          </w:p>
        </w:tc>
      </w:tr>
      <w:tr w:rsidR="00B248BB" w14:paraId="3B07A532" w14:textId="77777777" w:rsidTr="00B248BB">
        <w:trPr>
          <w:cantSplit/>
        </w:trPr>
        <w:tc>
          <w:tcPr>
            <w:tcW w:w="14346" w:type="dxa"/>
            <w:tcBorders>
              <w:left w:val="single" w:sz="4" w:space="0" w:color="000000"/>
              <w:right w:val="single" w:sz="4" w:space="0" w:color="000000"/>
            </w:tcBorders>
            <w:shd w:val="clear" w:color="auto" w:fill="auto"/>
          </w:tcPr>
          <w:p w14:paraId="69B40A9A" w14:textId="77777777" w:rsidR="00B248BB" w:rsidRDefault="00B248BB">
            <w:pPr>
              <w:pStyle w:val="TableContents"/>
              <w:ind w:left="149" w:right="3" w:hanging="189"/>
            </w:pPr>
            <w:r>
              <w:lastRenderedPageBreak/>
              <w:t>a. die geltende Stiftungsurkunde;</w:t>
            </w:r>
          </w:p>
        </w:tc>
      </w:tr>
      <w:tr w:rsidR="00B248BB" w14:paraId="0EFC40EB" w14:textId="77777777" w:rsidTr="00B248BB">
        <w:trPr>
          <w:cantSplit/>
        </w:trPr>
        <w:tc>
          <w:tcPr>
            <w:tcW w:w="14346" w:type="dxa"/>
            <w:tcBorders>
              <w:left w:val="single" w:sz="4" w:space="0" w:color="000000"/>
              <w:right w:val="single" w:sz="4" w:space="0" w:color="000000"/>
            </w:tcBorders>
            <w:shd w:val="clear" w:color="auto" w:fill="auto"/>
          </w:tcPr>
          <w:p w14:paraId="2F5946C2" w14:textId="77777777" w:rsidR="00B248BB" w:rsidRDefault="00B248BB">
            <w:pPr>
              <w:pStyle w:val="TableContents"/>
              <w:ind w:left="149" w:right="3" w:hanging="189"/>
            </w:pPr>
            <w:r>
              <w:t>b. die Begründung der Änderung;</w:t>
            </w:r>
          </w:p>
        </w:tc>
      </w:tr>
      <w:tr w:rsidR="00B248BB" w14:paraId="58D60A89" w14:textId="77777777" w:rsidTr="00B248BB">
        <w:trPr>
          <w:cantSplit/>
        </w:trPr>
        <w:tc>
          <w:tcPr>
            <w:tcW w:w="14346" w:type="dxa"/>
            <w:tcBorders>
              <w:left w:val="single" w:sz="4" w:space="0" w:color="000000"/>
              <w:right w:val="single" w:sz="4" w:space="0" w:color="000000"/>
            </w:tcBorders>
            <w:shd w:val="clear" w:color="auto" w:fill="auto"/>
          </w:tcPr>
          <w:p w14:paraId="7E5332F0" w14:textId="77777777" w:rsidR="00B248BB" w:rsidRDefault="00B248BB">
            <w:pPr>
              <w:pStyle w:val="TableContents"/>
              <w:ind w:left="149" w:right="3" w:hanging="189"/>
            </w:pPr>
            <w:r>
              <w:t>c. den Beschluss des Stiftungsrates betreffend die Änderung;</w:t>
            </w:r>
          </w:p>
        </w:tc>
      </w:tr>
      <w:tr w:rsidR="00B248BB" w14:paraId="28592F7B" w14:textId="77777777" w:rsidTr="00B248BB">
        <w:trPr>
          <w:cantSplit/>
        </w:trPr>
        <w:tc>
          <w:tcPr>
            <w:tcW w:w="14346" w:type="dxa"/>
            <w:tcBorders>
              <w:left w:val="single" w:sz="4" w:space="0" w:color="000000"/>
              <w:right w:val="single" w:sz="4" w:space="0" w:color="000000"/>
            </w:tcBorders>
            <w:shd w:val="clear" w:color="auto" w:fill="auto"/>
          </w:tcPr>
          <w:p w14:paraId="265F1299" w14:textId="77777777" w:rsidR="00B248BB" w:rsidRDefault="00B248BB">
            <w:pPr>
              <w:pStyle w:val="TableContents"/>
              <w:ind w:left="149" w:right="3" w:hanging="189"/>
            </w:pPr>
            <w:r>
              <w:t>d. gegebenenfalls die beurkundete Änderung der Stiftungsurkunde.</w:t>
            </w:r>
          </w:p>
        </w:tc>
      </w:tr>
      <w:tr w:rsidR="00B248BB" w14:paraId="2E0CD634" w14:textId="77777777" w:rsidTr="00B248BB">
        <w:trPr>
          <w:cantSplit/>
        </w:trPr>
        <w:tc>
          <w:tcPr>
            <w:tcW w:w="14346" w:type="dxa"/>
            <w:tcBorders>
              <w:left w:val="single" w:sz="4" w:space="0" w:color="000000"/>
              <w:right w:val="single" w:sz="4" w:space="0" w:color="000000"/>
            </w:tcBorders>
            <w:shd w:val="clear" w:color="auto" w:fill="auto"/>
          </w:tcPr>
          <w:p w14:paraId="007F487F" w14:textId="77777777" w:rsidR="00B248BB" w:rsidRDefault="00B248BB">
            <w:pPr>
              <w:pStyle w:val="TableContents"/>
            </w:pPr>
            <w:r>
              <w:rPr>
                <w:vertAlign w:val="superscript"/>
              </w:rPr>
              <w:t>3</w:t>
            </w:r>
            <w:r>
              <w:t> Die Unterlagen gemäss Abs. 2 Bst. a–c sind dem Gemeinderat einzureichen. Die beurkundete Änderung gemäss Abs. 2 Bst d ist direkt dem Handelsregisteramt einzureichen.</w:t>
            </w:r>
          </w:p>
        </w:tc>
      </w:tr>
      <w:tr w:rsidR="00B248BB" w14:paraId="49E52D37" w14:textId="77777777" w:rsidTr="00B248BB">
        <w:trPr>
          <w:cantSplit/>
        </w:trPr>
        <w:tc>
          <w:tcPr>
            <w:tcW w:w="14346" w:type="dxa"/>
            <w:tcBorders>
              <w:left w:val="single" w:sz="4" w:space="0" w:color="000000"/>
              <w:right w:val="single" w:sz="4" w:space="0" w:color="000000"/>
            </w:tcBorders>
            <w:shd w:val="clear" w:color="auto" w:fill="auto"/>
          </w:tcPr>
          <w:p w14:paraId="3D8246DC" w14:textId="77777777" w:rsidR="00B248BB" w:rsidRDefault="00B248BB">
            <w:pPr>
              <w:pStyle w:val="TableContents"/>
            </w:pPr>
            <w:r>
              <w:rPr>
                <w:vertAlign w:val="superscript"/>
              </w:rPr>
              <w:t>4</w:t>
            </w:r>
            <w:r>
              <w:t> Der Gemeinderat reicht seinen Antrag betreffend Urkundenänderung einer Stiftung zusammen mit dem Gesuch des obersten Organs der Stiftung oder der Verfügung von Todes wegen dem Regierungsrat ein.</w:t>
            </w:r>
          </w:p>
        </w:tc>
      </w:tr>
      <w:tr w:rsidR="00B248BB" w14:paraId="5F4EC41A" w14:textId="77777777" w:rsidTr="00B248BB">
        <w:trPr>
          <w:cantSplit/>
        </w:trPr>
        <w:tc>
          <w:tcPr>
            <w:tcW w:w="14346" w:type="dxa"/>
            <w:tcBorders>
              <w:left w:val="single" w:sz="4" w:space="0" w:color="000000"/>
              <w:right w:val="single" w:sz="4" w:space="0" w:color="000000"/>
            </w:tcBorders>
            <w:shd w:val="clear" w:color="auto" w:fill="auto"/>
          </w:tcPr>
          <w:p w14:paraId="78047D7B" w14:textId="77777777" w:rsidR="00B248BB" w:rsidRDefault="00B248BB">
            <w:pPr>
              <w:pStyle w:val="TableContents"/>
            </w:pPr>
            <w:r>
              <w:rPr>
                <w:vertAlign w:val="superscript"/>
              </w:rPr>
              <w:t>5</w:t>
            </w:r>
            <w:r>
              <w:t> Handelt es sich um unwesentliche Änderungen der Stiftungsurkunde nach Art. 86b ZGB, so nimmt der Gemeinderat die Änderungen der Stiftungsurkunde vor. Das oberste Organ der Stiftung kann die Unterlagen dem Gemeinderat zur Vorprüfung einreichen.</w:t>
            </w:r>
          </w:p>
        </w:tc>
      </w:tr>
      <w:tr w:rsidR="00B248BB" w14:paraId="28E151D7"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6BC6135A" w14:textId="77777777" w:rsidR="00B248BB" w:rsidRDefault="00B248BB">
            <w:pPr>
              <w:pStyle w:val="TableContents"/>
            </w:pPr>
            <w:r>
              <w:rPr>
                <w:b/>
                <w:bCs/>
              </w:rPr>
              <w:t>§  11</w:t>
            </w:r>
            <w:r>
              <w:br/>
            </w:r>
            <w:r>
              <w:rPr>
                <w:sz w:val="14"/>
              </w:rPr>
              <w:t>Aufhebung und Löschung (gemäss Art. 88 und 89 ZGB)</w:t>
            </w:r>
          </w:p>
        </w:tc>
      </w:tr>
      <w:tr w:rsidR="00B248BB" w14:paraId="0BE2DA8E" w14:textId="77777777" w:rsidTr="00B248BB">
        <w:trPr>
          <w:cantSplit/>
        </w:trPr>
        <w:tc>
          <w:tcPr>
            <w:tcW w:w="14346" w:type="dxa"/>
            <w:tcBorders>
              <w:left w:val="single" w:sz="4" w:space="0" w:color="000000"/>
              <w:right w:val="single" w:sz="4" w:space="0" w:color="000000"/>
            </w:tcBorders>
            <w:shd w:val="clear" w:color="auto" w:fill="auto"/>
          </w:tcPr>
          <w:p w14:paraId="670D7F8B" w14:textId="77777777" w:rsidR="00B248BB" w:rsidRDefault="00B248BB">
            <w:pPr>
              <w:pStyle w:val="TableContents"/>
            </w:pPr>
            <w:r>
              <w:rPr>
                <w:vertAlign w:val="superscript"/>
              </w:rPr>
              <w:t>1</w:t>
            </w:r>
            <w:r>
              <w:t> Der Gemeinderat beantragt dem Regierungsrat die Aufhebung der Stiftung, wenn:</w:t>
            </w:r>
          </w:p>
        </w:tc>
      </w:tr>
      <w:tr w:rsidR="00B248BB" w14:paraId="787647F2" w14:textId="77777777" w:rsidTr="00B248BB">
        <w:trPr>
          <w:cantSplit/>
        </w:trPr>
        <w:tc>
          <w:tcPr>
            <w:tcW w:w="14346" w:type="dxa"/>
            <w:tcBorders>
              <w:left w:val="single" w:sz="4" w:space="0" w:color="000000"/>
              <w:right w:val="single" w:sz="4" w:space="0" w:color="000000"/>
            </w:tcBorders>
            <w:shd w:val="clear" w:color="auto" w:fill="auto"/>
          </w:tcPr>
          <w:p w14:paraId="18E73202" w14:textId="77777777" w:rsidR="00B248BB" w:rsidRDefault="00B248BB">
            <w:pPr>
              <w:pStyle w:val="TableContents"/>
              <w:ind w:left="149" w:right="3" w:hanging="189"/>
            </w:pPr>
            <w:r>
              <w:t>a. deren Zweck unerreichbar geworden ist und die Stiftung durch eine Änderung der Sitftungsurkunde nicht aufrechterhalten werden kann; oder</w:t>
            </w:r>
          </w:p>
        </w:tc>
      </w:tr>
      <w:tr w:rsidR="00B248BB" w14:paraId="2BC24A5F" w14:textId="77777777" w:rsidTr="00B248BB">
        <w:trPr>
          <w:cantSplit/>
        </w:trPr>
        <w:tc>
          <w:tcPr>
            <w:tcW w:w="14346" w:type="dxa"/>
            <w:tcBorders>
              <w:left w:val="single" w:sz="4" w:space="0" w:color="000000"/>
              <w:right w:val="single" w:sz="4" w:space="0" w:color="000000"/>
            </w:tcBorders>
            <w:shd w:val="clear" w:color="auto" w:fill="auto"/>
          </w:tcPr>
          <w:p w14:paraId="6CB30B38" w14:textId="77777777" w:rsidR="00B248BB" w:rsidRDefault="00B248BB">
            <w:pPr>
              <w:pStyle w:val="TableContents"/>
              <w:ind w:left="149" w:right="3" w:hanging="189"/>
            </w:pPr>
            <w:r>
              <w:t>b. deren Zweck widerrechtlich oder unsittlich geworden ist.</w:t>
            </w:r>
          </w:p>
        </w:tc>
      </w:tr>
      <w:tr w:rsidR="00B248BB" w14:paraId="79FEF666" w14:textId="77777777" w:rsidTr="00B248BB">
        <w:tc>
          <w:tcPr>
            <w:tcW w:w="14346" w:type="dxa"/>
            <w:tcBorders>
              <w:top w:val="single" w:sz="4" w:space="0" w:color="000000"/>
              <w:left w:val="single" w:sz="4" w:space="0" w:color="000000"/>
              <w:right w:val="single" w:sz="4" w:space="0" w:color="000000"/>
            </w:tcBorders>
            <w:shd w:val="clear" w:color="auto" w:fill="auto"/>
          </w:tcPr>
          <w:p w14:paraId="57ABEF0F" w14:textId="77777777" w:rsidR="00B248BB" w:rsidRDefault="00B248BB">
            <w:pPr>
              <w:pStyle w:val="TableContents"/>
            </w:pPr>
            <w:r>
              <w:rPr>
                <w:b/>
                <w:bCs/>
                <w:sz w:val="22"/>
              </w:rPr>
              <w:t>4 Gebühren</w:t>
            </w:r>
          </w:p>
        </w:tc>
      </w:tr>
      <w:tr w:rsidR="00B248BB" w14:paraId="37C68C4A"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453FB318" w14:textId="77777777" w:rsidR="00B248BB" w:rsidRDefault="00B248BB">
            <w:pPr>
              <w:pStyle w:val="TableContents"/>
            </w:pPr>
            <w:r>
              <w:rPr>
                <w:b/>
                <w:bCs/>
              </w:rPr>
              <w:t>§  12</w:t>
            </w:r>
            <w:r>
              <w:br/>
            </w:r>
            <w:r>
              <w:rPr>
                <w:sz w:val="14"/>
              </w:rPr>
              <w:t>Jährliche Aufsichtsgebühr</w:t>
            </w:r>
          </w:p>
        </w:tc>
      </w:tr>
      <w:tr w:rsidR="00B248BB" w14:paraId="55DCF9D1" w14:textId="77777777" w:rsidTr="00B248BB">
        <w:trPr>
          <w:cantSplit/>
        </w:trPr>
        <w:tc>
          <w:tcPr>
            <w:tcW w:w="14346" w:type="dxa"/>
            <w:tcBorders>
              <w:left w:val="single" w:sz="4" w:space="0" w:color="000000"/>
              <w:right w:val="single" w:sz="4" w:space="0" w:color="000000"/>
            </w:tcBorders>
            <w:shd w:val="clear" w:color="auto" w:fill="auto"/>
          </w:tcPr>
          <w:p w14:paraId="5700D44A" w14:textId="77777777" w:rsidR="00B248BB" w:rsidRDefault="00B248BB">
            <w:pPr>
              <w:pStyle w:val="TableContents"/>
            </w:pPr>
            <w:r>
              <w:rPr>
                <w:vertAlign w:val="superscript"/>
              </w:rPr>
              <w:t>1</w:t>
            </w:r>
            <w:r>
              <w:t> Der Gemeinderat erhebt anlässlich der Einsichtnahme in die Jahresrechnung eine nach dem Vermögen berechnete jährliche Grundgebühr für die Ausübung der Aufsicht. Als Vermögen gilt die in der Bilanz ausgewiesene Summe der Aktiven.</w:t>
            </w:r>
          </w:p>
        </w:tc>
      </w:tr>
      <w:tr w:rsidR="00B248BB" w14:paraId="5EB867B1" w14:textId="77777777" w:rsidTr="00B248BB">
        <w:trPr>
          <w:cantSplit/>
        </w:trPr>
        <w:tc>
          <w:tcPr>
            <w:tcW w:w="14346" w:type="dxa"/>
            <w:tcBorders>
              <w:left w:val="single" w:sz="4" w:space="0" w:color="000000"/>
              <w:right w:val="single" w:sz="4" w:space="0" w:color="000000"/>
            </w:tcBorders>
            <w:shd w:val="clear" w:color="auto" w:fill="auto"/>
          </w:tcPr>
          <w:p w14:paraId="1968A616" w14:textId="77777777" w:rsidR="00B248BB" w:rsidRDefault="00B248BB">
            <w:pPr>
              <w:pStyle w:val="TableContents"/>
            </w:pPr>
            <w:r>
              <w:rPr>
                <w:vertAlign w:val="superscript"/>
              </w:rPr>
              <w:t>2</w:t>
            </w:r>
            <w:r>
              <w:t> Die jährliche Grundgebühr für die Ausübung der Aufsicht richtet sich nach dem jährlich ausgewiesenen Bruttovermögen (Bilanzsumme):</w:t>
            </w:r>
          </w:p>
        </w:tc>
      </w:tr>
      <w:tr w:rsidR="00B248BB" w14:paraId="2E87BDD3" w14:textId="77777777" w:rsidTr="00B248BB">
        <w:trPr>
          <w:cantSplit/>
        </w:trPr>
        <w:tc>
          <w:tcPr>
            <w:tcW w:w="14346" w:type="dxa"/>
            <w:tcBorders>
              <w:left w:val="single" w:sz="4" w:space="0" w:color="000000"/>
              <w:right w:val="single" w:sz="4" w:space="0" w:color="000000"/>
            </w:tcBorders>
            <w:shd w:val="clear" w:color="auto" w:fill="auto"/>
          </w:tcPr>
          <w:p w14:paraId="636ED900" w14:textId="77777777" w:rsidR="00B248BB" w:rsidRDefault="00B248BB">
            <w:pPr>
              <w:pStyle w:val="TableContents"/>
              <w:ind w:left="149" w:right="3" w:hanging="189"/>
            </w:pPr>
            <w:r>
              <w:t>a. bis CHF 100'000: CHF 295</w:t>
            </w:r>
          </w:p>
        </w:tc>
      </w:tr>
      <w:tr w:rsidR="00B248BB" w14:paraId="56DD48D0" w14:textId="77777777" w:rsidTr="00B248BB">
        <w:trPr>
          <w:cantSplit/>
        </w:trPr>
        <w:tc>
          <w:tcPr>
            <w:tcW w:w="14346" w:type="dxa"/>
            <w:tcBorders>
              <w:left w:val="single" w:sz="4" w:space="0" w:color="000000"/>
              <w:right w:val="single" w:sz="4" w:space="0" w:color="000000"/>
            </w:tcBorders>
            <w:shd w:val="clear" w:color="auto" w:fill="auto"/>
          </w:tcPr>
          <w:p w14:paraId="288A25EA" w14:textId="77777777" w:rsidR="00B248BB" w:rsidRDefault="00B248BB">
            <w:pPr>
              <w:pStyle w:val="TableContents"/>
              <w:ind w:left="149" w:right="3" w:hanging="189"/>
            </w:pPr>
            <w:r>
              <w:t>b. bis CHF 500'000: CHF 455</w:t>
            </w:r>
          </w:p>
        </w:tc>
      </w:tr>
      <w:tr w:rsidR="00B248BB" w14:paraId="507ACF06" w14:textId="77777777" w:rsidTr="00B248BB">
        <w:trPr>
          <w:cantSplit/>
        </w:trPr>
        <w:tc>
          <w:tcPr>
            <w:tcW w:w="14346" w:type="dxa"/>
            <w:tcBorders>
              <w:left w:val="single" w:sz="4" w:space="0" w:color="000000"/>
              <w:right w:val="single" w:sz="4" w:space="0" w:color="000000"/>
            </w:tcBorders>
            <w:shd w:val="clear" w:color="auto" w:fill="auto"/>
          </w:tcPr>
          <w:p w14:paraId="023F465B" w14:textId="77777777" w:rsidR="00B248BB" w:rsidRDefault="00B248BB">
            <w:pPr>
              <w:pStyle w:val="TableContents"/>
              <w:ind w:left="149" w:right="3" w:hanging="189"/>
            </w:pPr>
            <w:r>
              <w:lastRenderedPageBreak/>
              <w:t>c. bis CHF 1'000'000: CHF 620</w:t>
            </w:r>
          </w:p>
        </w:tc>
      </w:tr>
      <w:tr w:rsidR="00B248BB" w14:paraId="470B0123" w14:textId="77777777" w:rsidTr="00B248BB">
        <w:trPr>
          <w:cantSplit/>
        </w:trPr>
        <w:tc>
          <w:tcPr>
            <w:tcW w:w="14346" w:type="dxa"/>
            <w:tcBorders>
              <w:left w:val="single" w:sz="4" w:space="0" w:color="000000"/>
              <w:right w:val="single" w:sz="4" w:space="0" w:color="000000"/>
            </w:tcBorders>
            <w:shd w:val="clear" w:color="auto" w:fill="auto"/>
          </w:tcPr>
          <w:p w14:paraId="1264FB57" w14:textId="77777777" w:rsidR="00B248BB" w:rsidRDefault="00B248BB">
            <w:pPr>
              <w:pStyle w:val="TableContents"/>
              <w:ind w:left="149" w:right="3" w:hanging="189"/>
            </w:pPr>
            <w:r>
              <w:t>d. bis CHF 1'500'000: CHF 640</w:t>
            </w:r>
          </w:p>
        </w:tc>
      </w:tr>
      <w:tr w:rsidR="00B248BB" w14:paraId="45A8A5A3" w14:textId="77777777" w:rsidTr="00B248BB">
        <w:trPr>
          <w:cantSplit/>
        </w:trPr>
        <w:tc>
          <w:tcPr>
            <w:tcW w:w="14346" w:type="dxa"/>
            <w:tcBorders>
              <w:left w:val="single" w:sz="4" w:space="0" w:color="000000"/>
              <w:right w:val="single" w:sz="4" w:space="0" w:color="000000"/>
            </w:tcBorders>
            <w:shd w:val="clear" w:color="auto" w:fill="auto"/>
          </w:tcPr>
          <w:p w14:paraId="0C376EF7" w14:textId="77777777" w:rsidR="00B248BB" w:rsidRDefault="00B248BB">
            <w:pPr>
              <w:pStyle w:val="TableContents"/>
              <w:ind w:left="149" w:right="3" w:hanging="189"/>
            </w:pPr>
            <w:r>
              <w:t>e. bis CHF 2'500'000: CHF 660</w:t>
            </w:r>
          </w:p>
        </w:tc>
      </w:tr>
      <w:tr w:rsidR="00B248BB" w14:paraId="50E7E588" w14:textId="77777777" w:rsidTr="00B248BB">
        <w:trPr>
          <w:cantSplit/>
        </w:trPr>
        <w:tc>
          <w:tcPr>
            <w:tcW w:w="14346" w:type="dxa"/>
            <w:tcBorders>
              <w:left w:val="single" w:sz="4" w:space="0" w:color="000000"/>
              <w:right w:val="single" w:sz="4" w:space="0" w:color="000000"/>
            </w:tcBorders>
            <w:shd w:val="clear" w:color="auto" w:fill="auto"/>
          </w:tcPr>
          <w:p w14:paraId="71E748FC" w14:textId="77777777" w:rsidR="00B248BB" w:rsidRDefault="00B248BB">
            <w:pPr>
              <w:pStyle w:val="TableContents"/>
              <w:ind w:left="149" w:right="3" w:hanging="189"/>
            </w:pPr>
            <w:r>
              <w:t>f. bis CHF 5'000'000: CHF 880</w:t>
            </w:r>
          </w:p>
        </w:tc>
      </w:tr>
      <w:tr w:rsidR="00B248BB" w14:paraId="786511B2" w14:textId="77777777" w:rsidTr="00B248BB">
        <w:trPr>
          <w:cantSplit/>
        </w:trPr>
        <w:tc>
          <w:tcPr>
            <w:tcW w:w="14346" w:type="dxa"/>
            <w:tcBorders>
              <w:left w:val="single" w:sz="4" w:space="0" w:color="000000"/>
              <w:right w:val="single" w:sz="4" w:space="0" w:color="000000"/>
            </w:tcBorders>
            <w:shd w:val="clear" w:color="auto" w:fill="auto"/>
          </w:tcPr>
          <w:p w14:paraId="6B5D6127" w14:textId="77777777" w:rsidR="00B248BB" w:rsidRDefault="00B248BB">
            <w:pPr>
              <w:pStyle w:val="TableContents"/>
              <w:ind w:left="149" w:right="3" w:hanging="189"/>
            </w:pPr>
            <w:r>
              <w:t>g. bis CHF 7'500'000: CHF 1'000</w:t>
            </w:r>
          </w:p>
        </w:tc>
      </w:tr>
      <w:tr w:rsidR="00B248BB" w14:paraId="2F65F2A4" w14:textId="77777777" w:rsidTr="00B248BB">
        <w:trPr>
          <w:cantSplit/>
        </w:trPr>
        <w:tc>
          <w:tcPr>
            <w:tcW w:w="14346" w:type="dxa"/>
            <w:tcBorders>
              <w:left w:val="single" w:sz="4" w:space="0" w:color="000000"/>
              <w:right w:val="single" w:sz="4" w:space="0" w:color="000000"/>
            </w:tcBorders>
            <w:shd w:val="clear" w:color="auto" w:fill="auto"/>
          </w:tcPr>
          <w:p w14:paraId="5864D5AB" w14:textId="77777777" w:rsidR="00B248BB" w:rsidRDefault="00B248BB">
            <w:pPr>
              <w:pStyle w:val="TableContents"/>
              <w:ind w:left="149" w:right="3" w:hanging="189"/>
            </w:pPr>
            <w:r>
              <w:t>h. bis CHF 10'000'000: CHF 1'260</w:t>
            </w:r>
          </w:p>
        </w:tc>
      </w:tr>
      <w:tr w:rsidR="00B248BB" w14:paraId="09E9CB7A" w14:textId="77777777" w:rsidTr="00B248BB">
        <w:trPr>
          <w:cantSplit/>
        </w:trPr>
        <w:tc>
          <w:tcPr>
            <w:tcW w:w="14346" w:type="dxa"/>
            <w:tcBorders>
              <w:left w:val="single" w:sz="4" w:space="0" w:color="000000"/>
              <w:right w:val="single" w:sz="4" w:space="0" w:color="000000"/>
            </w:tcBorders>
            <w:shd w:val="clear" w:color="auto" w:fill="auto"/>
          </w:tcPr>
          <w:p w14:paraId="751A382B" w14:textId="77777777" w:rsidR="00B248BB" w:rsidRDefault="00B248BB">
            <w:pPr>
              <w:pStyle w:val="TableContents"/>
              <w:ind w:left="149" w:right="3" w:hanging="189"/>
            </w:pPr>
            <w:r>
              <w:t>i. bis CHF 20'000'000: CHF 1'635</w:t>
            </w:r>
          </w:p>
        </w:tc>
      </w:tr>
      <w:tr w:rsidR="00B248BB" w14:paraId="65E1C401" w14:textId="77777777" w:rsidTr="00B248BB">
        <w:trPr>
          <w:cantSplit/>
        </w:trPr>
        <w:tc>
          <w:tcPr>
            <w:tcW w:w="14346" w:type="dxa"/>
            <w:tcBorders>
              <w:left w:val="single" w:sz="4" w:space="0" w:color="000000"/>
              <w:right w:val="single" w:sz="4" w:space="0" w:color="000000"/>
            </w:tcBorders>
            <w:shd w:val="clear" w:color="auto" w:fill="auto"/>
          </w:tcPr>
          <w:p w14:paraId="692FB28D" w14:textId="77777777" w:rsidR="00B248BB" w:rsidRDefault="00B248BB">
            <w:pPr>
              <w:pStyle w:val="TableContents"/>
              <w:ind w:left="149" w:right="3" w:hanging="189"/>
            </w:pPr>
            <w:r>
              <w:t>j. bis CHF 30'000'000: CHF 1'800</w:t>
            </w:r>
          </w:p>
        </w:tc>
      </w:tr>
      <w:tr w:rsidR="00B248BB" w14:paraId="4964CB48" w14:textId="77777777" w:rsidTr="00B248BB">
        <w:trPr>
          <w:cantSplit/>
        </w:trPr>
        <w:tc>
          <w:tcPr>
            <w:tcW w:w="14346" w:type="dxa"/>
            <w:tcBorders>
              <w:left w:val="single" w:sz="4" w:space="0" w:color="000000"/>
              <w:right w:val="single" w:sz="4" w:space="0" w:color="000000"/>
            </w:tcBorders>
            <w:shd w:val="clear" w:color="auto" w:fill="auto"/>
          </w:tcPr>
          <w:p w14:paraId="21295313" w14:textId="77777777" w:rsidR="00B248BB" w:rsidRDefault="00B248BB">
            <w:pPr>
              <w:pStyle w:val="TableContents"/>
              <w:ind w:left="149" w:right="3" w:hanging="189"/>
            </w:pPr>
            <w:r>
              <w:t>k. bis CHF 50'000'000: CHF 2'025</w:t>
            </w:r>
          </w:p>
        </w:tc>
      </w:tr>
      <w:tr w:rsidR="00B248BB" w14:paraId="7270F427" w14:textId="77777777" w:rsidTr="00B248BB">
        <w:trPr>
          <w:cantSplit/>
        </w:trPr>
        <w:tc>
          <w:tcPr>
            <w:tcW w:w="14346" w:type="dxa"/>
            <w:tcBorders>
              <w:left w:val="single" w:sz="4" w:space="0" w:color="000000"/>
              <w:right w:val="single" w:sz="4" w:space="0" w:color="000000"/>
            </w:tcBorders>
            <w:shd w:val="clear" w:color="auto" w:fill="auto"/>
          </w:tcPr>
          <w:p w14:paraId="3AD758A8" w14:textId="77777777" w:rsidR="00B248BB" w:rsidRDefault="00B248BB">
            <w:pPr>
              <w:pStyle w:val="TableContents"/>
              <w:ind w:left="149" w:right="3" w:hanging="189"/>
            </w:pPr>
            <w:r>
              <w:t>l. bis CHF 100'000'000: CHF 2'410</w:t>
            </w:r>
          </w:p>
        </w:tc>
      </w:tr>
      <w:tr w:rsidR="00B248BB" w14:paraId="06C326AD" w14:textId="77777777" w:rsidTr="00B248BB">
        <w:trPr>
          <w:cantSplit/>
        </w:trPr>
        <w:tc>
          <w:tcPr>
            <w:tcW w:w="14346" w:type="dxa"/>
            <w:tcBorders>
              <w:left w:val="single" w:sz="4" w:space="0" w:color="000000"/>
              <w:right w:val="single" w:sz="4" w:space="0" w:color="000000"/>
            </w:tcBorders>
            <w:shd w:val="clear" w:color="auto" w:fill="auto"/>
          </w:tcPr>
          <w:p w14:paraId="7253752D" w14:textId="77777777" w:rsidR="00B248BB" w:rsidRDefault="00B248BB">
            <w:pPr>
              <w:pStyle w:val="TableContents"/>
              <w:ind w:left="149" w:right="3" w:hanging="189"/>
            </w:pPr>
            <w:r>
              <w:t>m. bis CHF 150'000'000: CHF 2'600</w:t>
            </w:r>
          </w:p>
        </w:tc>
      </w:tr>
      <w:tr w:rsidR="00B248BB" w14:paraId="72F117C0" w14:textId="77777777" w:rsidTr="00B248BB">
        <w:trPr>
          <w:cantSplit/>
        </w:trPr>
        <w:tc>
          <w:tcPr>
            <w:tcW w:w="14346" w:type="dxa"/>
            <w:tcBorders>
              <w:left w:val="single" w:sz="4" w:space="0" w:color="000000"/>
              <w:right w:val="single" w:sz="4" w:space="0" w:color="000000"/>
            </w:tcBorders>
            <w:shd w:val="clear" w:color="auto" w:fill="auto"/>
          </w:tcPr>
          <w:p w14:paraId="07AF80E9" w14:textId="77777777" w:rsidR="00B248BB" w:rsidRDefault="00B248BB">
            <w:pPr>
              <w:pStyle w:val="TableContents"/>
              <w:ind w:left="149" w:right="3" w:hanging="189"/>
            </w:pPr>
            <w:r>
              <w:t>n. bis CHF 250'000'000: CHF 2'835</w:t>
            </w:r>
          </w:p>
        </w:tc>
      </w:tr>
      <w:tr w:rsidR="00B248BB" w14:paraId="0F21ED96" w14:textId="77777777" w:rsidTr="00B248BB">
        <w:trPr>
          <w:cantSplit/>
        </w:trPr>
        <w:tc>
          <w:tcPr>
            <w:tcW w:w="14346" w:type="dxa"/>
            <w:tcBorders>
              <w:left w:val="single" w:sz="4" w:space="0" w:color="000000"/>
              <w:right w:val="single" w:sz="4" w:space="0" w:color="000000"/>
            </w:tcBorders>
            <w:shd w:val="clear" w:color="auto" w:fill="auto"/>
          </w:tcPr>
          <w:p w14:paraId="262907EE" w14:textId="77777777" w:rsidR="00B248BB" w:rsidRDefault="00B248BB">
            <w:pPr>
              <w:pStyle w:val="TableContents"/>
              <w:ind w:left="149" w:right="3" w:hanging="189"/>
            </w:pPr>
            <w:r>
              <w:t>o. über CHF 250'000'000: CHF 3'345</w:t>
            </w:r>
          </w:p>
        </w:tc>
      </w:tr>
      <w:tr w:rsidR="00B248BB" w14:paraId="708B4688"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23A448D8" w14:textId="77777777" w:rsidR="00B248BB" w:rsidRDefault="00B248BB">
            <w:pPr>
              <w:pStyle w:val="TableContents"/>
            </w:pPr>
            <w:r>
              <w:rPr>
                <w:b/>
                <w:bCs/>
              </w:rPr>
              <w:t>§  13</w:t>
            </w:r>
            <w:r>
              <w:br/>
            </w:r>
            <w:r>
              <w:rPr>
                <w:sz w:val="14"/>
              </w:rPr>
              <w:t>Gebühren für weitere Verrichtungen</w:t>
            </w:r>
          </w:p>
        </w:tc>
      </w:tr>
      <w:tr w:rsidR="00B248BB" w14:paraId="50B033AA" w14:textId="77777777" w:rsidTr="00B248BB">
        <w:trPr>
          <w:cantSplit/>
        </w:trPr>
        <w:tc>
          <w:tcPr>
            <w:tcW w:w="14346" w:type="dxa"/>
            <w:tcBorders>
              <w:left w:val="single" w:sz="4" w:space="0" w:color="000000"/>
              <w:right w:val="single" w:sz="4" w:space="0" w:color="000000"/>
            </w:tcBorders>
            <w:shd w:val="clear" w:color="auto" w:fill="auto"/>
          </w:tcPr>
          <w:p w14:paraId="2A1DB4DC" w14:textId="77777777" w:rsidR="00B248BB" w:rsidRDefault="00B248BB">
            <w:pPr>
              <w:pStyle w:val="TableContents"/>
            </w:pPr>
            <w:r>
              <w:rPr>
                <w:vertAlign w:val="superscript"/>
              </w:rPr>
              <w:t>1</w:t>
            </w:r>
            <w:r>
              <w:t> Der Gemeinderat erhebt für folgende Verrichtungen nach dem Kostendeckungs- und Äquivalenzprinzip berechnete Gebühren:</w:t>
            </w:r>
          </w:p>
        </w:tc>
      </w:tr>
      <w:tr w:rsidR="00B248BB" w14:paraId="23A9250B" w14:textId="77777777" w:rsidTr="00B248BB">
        <w:trPr>
          <w:cantSplit/>
        </w:trPr>
        <w:tc>
          <w:tcPr>
            <w:tcW w:w="14346" w:type="dxa"/>
            <w:tcBorders>
              <w:left w:val="single" w:sz="4" w:space="0" w:color="000000"/>
              <w:right w:val="single" w:sz="4" w:space="0" w:color="000000"/>
            </w:tcBorders>
            <w:shd w:val="clear" w:color="auto" w:fill="auto"/>
          </w:tcPr>
          <w:p w14:paraId="12BACF23" w14:textId="77777777" w:rsidR="00B248BB" w:rsidRDefault="00B248BB">
            <w:pPr>
              <w:pStyle w:val="TableContents"/>
              <w:ind w:left="149" w:right="3" w:hanging="189"/>
            </w:pPr>
            <w:r>
              <w:t>a. Vorprüfung und Prüfung von Urkunden und -Änderungen CHF 500–3'000,</w:t>
            </w:r>
          </w:p>
        </w:tc>
      </w:tr>
      <w:tr w:rsidR="00B248BB" w14:paraId="0E1A1992" w14:textId="77777777" w:rsidTr="00B248BB">
        <w:trPr>
          <w:cantSplit/>
        </w:trPr>
        <w:tc>
          <w:tcPr>
            <w:tcW w:w="14346" w:type="dxa"/>
            <w:tcBorders>
              <w:left w:val="single" w:sz="4" w:space="0" w:color="000000"/>
              <w:right w:val="single" w:sz="4" w:space="0" w:color="000000"/>
            </w:tcBorders>
            <w:shd w:val="clear" w:color="auto" w:fill="auto"/>
          </w:tcPr>
          <w:p w14:paraId="2AFEDABC" w14:textId="77777777" w:rsidR="00B248BB" w:rsidRDefault="00B248BB">
            <w:pPr>
              <w:pStyle w:val="TableContents"/>
              <w:ind w:left="149" w:right="3" w:hanging="189"/>
            </w:pPr>
            <w:r>
              <w:t>b. Zusammenschluss und (Teil)liquidationen von Stiftungen CHF 500–2'000,</w:t>
            </w:r>
          </w:p>
        </w:tc>
      </w:tr>
      <w:tr w:rsidR="00B248BB" w14:paraId="14C0B3F7" w14:textId="77777777" w:rsidTr="00B248BB">
        <w:trPr>
          <w:cantSplit/>
        </w:trPr>
        <w:tc>
          <w:tcPr>
            <w:tcW w:w="14346" w:type="dxa"/>
            <w:tcBorders>
              <w:left w:val="single" w:sz="4" w:space="0" w:color="000000"/>
              <w:right w:val="single" w:sz="4" w:space="0" w:color="000000"/>
            </w:tcBorders>
            <w:shd w:val="clear" w:color="auto" w:fill="auto"/>
          </w:tcPr>
          <w:p w14:paraId="1A539D27" w14:textId="77777777" w:rsidR="00B248BB" w:rsidRDefault="00B248BB">
            <w:pPr>
              <w:pStyle w:val="TableContents"/>
              <w:ind w:left="149" w:right="3" w:hanging="189"/>
            </w:pPr>
            <w:r>
              <w:t>c. Übernahme der Aufsicht bzw. Entlassung aus der Aufsicht CHF 500–3'000,</w:t>
            </w:r>
          </w:p>
        </w:tc>
      </w:tr>
      <w:tr w:rsidR="00B248BB" w14:paraId="7DDAF9B8" w14:textId="77777777" w:rsidTr="00B248BB">
        <w:trPr>
          <w:cantSplit/>
        </w:trPr>
        <w:tc>
          <w:tcPr>
            <w:tcW w:w="14346" w:type="dxa"/>
            <w:tcBorders>
              <w:left w:val="single" w:sz="4" w:space="0" w:color="000000"/>
              <w:right w:val="single" w:sz="4" w:space="0" w:color="000000"/>
            </w:tcBorders>
            <w:shd w:val="clear" w:color="auto" w:fill="auto"/>
          </w:tcPr>
          <w:p w14:paraId="3FC4D98E" w14:textId="77777777" w:rsidR="00B248BB" w:rsidRDefault="00B248BB">
            <w:pPr>
              <w:pStyle w:val="TableContents"/>
              <w:ind w:left="149" w:right="3" w:hanging="189"/>
            </w:pPr>
            <w:r>
              <w:t>e. Prüfung von Reglementen CHF 150–2'500,</w:t>
            </w:r>
          </w:p>
        </w:tc>
      </w:tr>
      <w:tr w:rsidR="00B248BB" w14:paraId="3F1BB4CC" w14:textId="77777777" w:rsidTr="00B248BB">
        <w:trPr>
          <w:cantSplit/>
        </w:trPr>
        <w:tc>
          <w:tcPr>
            <w:tcW w:w="14346" w:type="dxa"/>
            <w:tcBorders>
              <w:left w:val="single" w:sz="4" w:space="0" w:color="000000"/>
              <w:right w:val="single" w:sz="4" w:space="0" w:color="000000"/>
            </w:tcBorders>
            <w:shd w:val="clear" w:color="auto" w:fill="auto"/>
          </w:tcPr>
          <w:p w14:paraId="54AAFF94" w14:textId="77777777" w:rsidR="00B248BB" w:rsidRDefault="00B248BB">
            <w:pPr>
              <w:pStyle w:val="TableContents"/>
              <w:ind w:left="149" w:right="3" w:hanging="189"/>
            </w:pPr>
            <w:r>
              <w:t>f. Anordnung von Massnahmen CHF 500–7'500,</w:t>
            </w:r>
          </w:p>
        </w:tc>
      </w:tr>
      <w:tr w:rsidR="00B248BB" w14:paraId="358F30B4" w14:textId="77777777" w:rsidTr="00B248BB">
        <w:trPr>
          <w:cantSplit/>
        </w:trPr>
        <w:tc>
          <w:tcPr>
            <w:tcW w:w="14346" w:type="dxa"/>
            <w:tcBorders>
              <w:left w:val="single" w:sz="4" w:space="0" w:color="000000"/>
              <w:right w:val="single" w:sz="4" w:space="0" w:color="000000"/>
            </w:tcBorders>
            <w:shd w:val="clear" w:color="auto" w:fill="auto"/>
          </w:tcPr>
          <w:p w14:paraId="24F3BC65" w14:textId="77777777" w:rsidR="00B248BB" w:rsidRDefault="00B248BB">
            <w:pPr>
              <w:pStyle w:val="TableContents"/>
              <w:ind w:left="149" w:right="3" w:hanging="189"/>
            </w:pPr>
            <w:r>
              <w:t>g. Mahngebühren CHF 50,</w:t>
            </w:r>
          </w:p>
        </w:tc>
      </w:tr>
      <w:tr w:rsidR="00B248BB" w14:paraId="75E15E6C" w14:textId="77777777" w:rsidTr="00B248BB">
        <w:trPr>
          <w:cantSplit/>
        </w:trPr>
        <w:tc>
          <w:tcPr>
            <w:tcW w:w="14346" w:type="dxa"/>
            <w:tcBorders>
              <w:left w:val="single" w:sz="4" w:space="0" w:color="000000"/>
              <w:right w:val="single" w:sz="4" w:space="0" w:color="000000"/>
            </w:tcBorders>
            <w:shd w:val="clear" w:color="auto" w:fill="auto"/>
          </w:tcPr>
          <w:p w14:paraId="514C4434" w14:textId="77777777" w:rsidR="00B248BB" w:rsidRDefault="00B248BB">
            <w:pPr>
              <w:pStyle w:val="TableContents"/>
              <w:ind w:left="149" w:right="3" w:hanging="189"/>
            </w:pPr>
            <w:r>
              <w:t>h. zweite und jede weitere Erstreckung der Frist zur Einreichung von Jahresbericht und Jahresrechnung CHF 50,</w:t>
            </w:r>
          </w:p>
        </w:tc>
      </w:tr>
      <w:tr w:rsidR="00B248BB" w14:paraId="59B1B689" w14:textId="77777777" w:rsidTr="00B248BB">
        <w:trPr>
          <w:cantSplit/>
        </w:trPr>
        <w:tc>
          <w:tcPr>
            <w:tcW w:w="14346" w:type="dxa"/>
            <w:tcBorders>
              <w:left w:val="single" w:sz="4" w:space="0" w:color="000000"/>
              <w:right w:val="single" w:sz="4" w:space="0" w:color="000000"/>
            </w:tcBorders>
            <w:shd w:val="clear" w:color="auto" w:fill="auto"/>
          </w:tcPr>
          <w:p w14:paraId="61F045C6" w14:textId="77777777" w:rsidR="00B248BB" w:rsidRDefault="00B248BB">
            <w:pPr>
              <w:pStyle w:val="TableContents"/>
              <w:ind w:left="149" w:right="3" w:hanging="189"/>
            </w:pPr>
            <w:r>
              <w:t>i. weitere Verfügungen und besondere Arbeitsaufwendungen CHF 500–3'000.</w:t>
            </w:r>
          </w:p>
        </w:tc>
      </w:tr>
      <w:tr w:rsidR="00B248BB" w14:paraId="592DC031"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11B49E68" w14:textId="77777777" w:rsidR="00B248BB" w:rsidRDefault="00B248BB">
            <w:pPr>
              <w:pStyle w:val="TableContents"/>
            </w:pPr>
            <w:r>
              <w:rPr>
                <w:b/>
                <w:bCs/>
              </w:rPr>
              <w:t>§  14</w:t>
            </w:r>
            <w:r>
              <w:br/>
            </w:r>
            <w:r>
              <w:rPr>
                <w:sz w:val="14"/>
              </w:rPr>
              <w:t>Gebührenreduktion und -befreiung</w:t>
            </w:r>
          </w:p>
        </w:tc>
      </w:tr>
      <w:tr w:rsidR="00B248BB" w14:paraId="7B7E5CFB" w14:textId="77777777" w:rsidTr="00B248BB">
        <w:trPr>
          <w:cantSplit/>
        </w:trPr>
        <w:tc>
          <w:tcPr>
            <w:tcW w:w="14346" w:type="dxa"/>
            <w:tcBorders>
              <w:left w:val="single" w:sz="4" w:space="0" w:color="000000"/>
              <w:right w:val="single" w:sz="4" w:space="0" w:color="000000"/>
            </w:tcBorders>
            <w:shd w:val="clear" w:color="auto" w:fill="auto"/>
          </w:tcPr>
          <w:p w14:paraId="4B32EB6C" w14:textId="77777777" w:rsidR="00B248BB" w:rsidRDefault="00B248BB">
            <w:pPr>
              <w:pStyle w:val="TableContents"/>
            </w:pPr>
            <w:r>
              <w:rPr>
                <w:vertAlign w:val="superscript"/>
              </w:rPr>
              <w:t>1</w:t>
            </w:r>
            <w:r>
              <w:t> Der Gemeinderat kann die gemäss §§ 12–13 anfallenden Gebühren auf begründetes Gesuch hin ganz oder teilweise erlassen.</w:t>
            </w:r>
          </w:p>
        </w:tc>
      </w:tr>
      <w:tr w:rsidR="00B248BB" w14:paraId="6362131F" w14:textId="77777777" w:rsidTr="00B248BB">
        <w:tc>
          <w:tcPr>
            <w:tcW w:w="14346" w:type="dxa"/>
            <w:tcBorders>
              <w:top w:val="single" w:sz="4" w:space="0" w:color="000000"/>
              <w:left w:val="single" w:sz="4" w:space="0" w:color="000000"/>
              <w:right w:val="single" w:sz="4" w:space="0" w:color="000000"/>
            </w:tcBorders>
            <w:shd w:val="clear" w:color="auto" w:fill="auto"/>
          </w:tcPr>
          <w:p w14:paraId="39C205B7" w14:textId="77777777" w:rsidR="00B248BB" w:rsidRDefault="00B248BB">
            <w:pPr>
              <w:pStyle w:val="TableContents"/>
            </w:pPr>
            <w:r>
              <w:rPr>
                <w:b/>
                <w:bCs/>
                <w:sz w:val="22"/>
              </w:rPr>
              <w:t>5 Schlussbestimmungen</w:t>
            </w:r>
          </w:p>
        </w:tc>
      </w:tr>
      <w:tr w:rsidR="00B248BB" w14:paraId="29D73C62" w14:textId="77777777" w:rsidTr="00B248BB">
        <w:trPr>
          <w:cantSplit/>
        </w:trPr>
        <w:tc>
          <w:tcPr>
            <w:tcW w:w="14346" w:type="dxa"/>
            <w:tcBorders>
              <w:top w:val="single" w:sz="4" w:space="0" w:color="000000"/>
              <w:left w:val="single" w:sz="4" w:space="0" w:color="000000"/>
              <w:right w:val="single" w:sz="4" w:space="0" w:color="000000"/>
            </w:tcBorders>
            <w:shd w:val="clear" w:color="auto" w:fill="auto"/>
          </w:tcPr>
          <w:p w14:paraId="44847DB4" w14:textId="77777777" w:rsidR="00B248BB" w:rsidRDefault="00B248BB">
            <w:pPr>
              <w:pStyle w:val="TableContents"/>
            </w:pPr>
            <w:r>
              <w:rPr>
                <w:b/>
                <w:bCs/>
              </w:rPr>
              <w:t>§  15</w:t>
            </w:r>
            <w:r>
              <w:br/>
            </w:r>
            <w:r>
              <w:rPr>
                <w:sz w:val="14"/>
              </w:rPr>
              <w:t>Inkrafttreten</w:t>
            </w:r>
          </w:p>
        </w:tc>
      </w:tr>
      <w:tr w:rsidR="00B248BB" w14:paraId="0ADC39FC" w14:textId="77777777" w:rsidTr="00B248BB">
        <w:trPr>
          <w:cantSplit/>
        </w:trPr>
        <w:tc>
          <w:tcPr>
            <w:tcW w:w="14346" w:type="dxa"/>
            <w:tcBorders>
              <w:left w:val="single" w:sz="4" w:space="0" w:color="000000"/>
              <w:right w:val="single" w:sz="4" w:space="0" w:color="000000"/>
            </w:tcBorders>
            <w:shd w:val="clear" w:color="auto" w:fill="auto"/>
          </w:tcPr>
          <w:p w14:paraId="413434D9" w14:textId="77777777" w:rsidR="00B248BB" w:rsidRDefault="00B248BB">
            <w:pPr>
              <w:pStyle w:val="TableContents"/>
            </w:pPr>
            <w:r>
              <w:rPr>
                <w:vertAlign w:val="superscript"/>
              </w:rPr>
              <w:t>1</w:t>
            </w:r>
            <w:r>
              <w:t> Dieses Reglement tritt am [Datum] in Kraft.</w:t>
            </w:r>
          </w:p>
        </w:tc>
      </w:tr>
      <w:tr w:rsidR="00B248BB" w14:paraId="1C69E69B" w14:textId="77777777" w:rsidTr="00B248BB">
        <w:tc>
          <w:tcPr>
            <w:tcW w:w="14346" w:type="dxa"/>
            <w:tcBorders>
              <w:top w:val="single" w:sz="4" w:space="0" w:color="000000"/>
              <w:left w:val="single" w:sz="4" w:space="0" w:color="000000"/>
              <w:right w:val="single" w:sz="4" w:space="0" w:color="000000"/>
            </w:tcBorders>
            <w:shd w:val="clear" w:color="auto" w:fill="auto"/>
          </w:tcPr>
          <w:p w14:paraId="3DA92129" w14:textId="77777777" w:rsidR="00B248BB" w:rsidRDefault="00B248BB">
            <w:pPr>
              <w:pStyle w:val="Abschnittstitel"/>
            </w:pPr>
            <w:r>
              <w:t>II.</w:t>
            </w:r>
          </w:p>
        </w:tc>
      </w:tr>
      <w:tr w:rsidR="00B248BB" w14:paraId="67985A50" w14:textId="77777777" w:rsidTr="00B248BB">
        <w:tc>
          <w:tcPr>
            <w:tcW w:w="14346" w:type="dxa"/>
            <w:tcBorders>
              <w:top w:val="single" w:sz="4" w:space="0" w:color="000000"/>
              <w:left w:val="single" w:sz="4" w:space="0" w:color="000000"/>
              <w:right w:val="single" w:sz="4" w:space="0" w:color="000000"/>
            </w:tcBorders>
            <w:shd w:val="clear" w:color="auto" w:fill="auto"/>
          </w:tcPr>
          <w:p w14:paraId="25C09171" w14:textId="77777777" w:rsidR="00B248BB" w:rsidRDefault="00B248BB">
            <w:pPr>
              <w:pStyle w:val="EmptySectionRemark"/>
            </w:pPr>
            <w:r>
              <w:t>Keine Fremdänderungen.</w:t>
            </w:r>
          </w:p>
        </w:tc>
      </w:tr>
      <w:tr w:rsidR="00B248BB" w14:paraId="1F763921" w14:textId="77777777" w:rsidTr="00B248BB">
        <w:tc>
          <w:tcPr>
            <w:tcW w:w="14346" w:type="dxa"/>
            <w:tcBorders>
              <w:top w:val="single" w:sz="4" w:space="0" w:color="000000"/>
              <w:left w:val="single" w:sz="4" w:space="0" w:color="000000"/>
              <w:right w:val="single" w:sz="4" w:space="0" w:color="000000"/>
            </w:tcBorders>
            <w:shd w:val="clear" w:color="auto" w:fill="auto"/>
          </w:tcPr>
          <w:p w14:paraId="5ACDAD17" w14:textId="77777777" w:rsidR="00B248BB" w:rsidRDefault="00B248BB">
            <w:pPr>
              <w:pStyle w:val="Abschnittstitel"/>
            </w:pPr>
            <w:r>
              <w:t>III.</w:t>
            </w:r>
          </w:p>
        </w:tc>
      </w:tr>
      <w:tr w:rsidR="00B248BB" w14:paraId="1285B20D" w14:textId="77777777" w:rsidTr="00B248BB">
        <w:tc>
          <w:tcPr>
            <w:tcW w:w="14346" w:type="dxa"/>
            <w:tcBorders>
              <w:top w:val="single" w:sz="4" w:space="0" w:color="000000"/>
              <w:left w:val="single" w:sz="4" w:space="0" w:color="000000"/>
              <w:right w:val="single" w:sz="4" w:space="0" w:color="000000"/>
            </w:tcBorders>
            <w:shd w:val="clear" w:color="auto" w:fill="auto"/>
          </w:tcPr>
          <w:p w14:paraId="157A5E70" w14:textId="77777777" w:rsidR="00B248BB" w:rsidRDefault="00B248BB">
            <w:pPr>
              <w:pStyle w:val="EmptySectionRemark"/>
            </w:pPr>
            <w:r>
              <w:t>Keine Fremdaufhebungen.</w:t>
            </w:r>
          </w:p>
        </w:tc>
      </w:tr>
      <w:tr w:rsidR="00B248BB" w14:paraId="2B1F92AC" w14:textId="77777777" w:rsidTr="00B248BB">
        <w:tc>
          <w:tcPr>
            <w:tcW w:w="14346" w:type="dxa"/>
            <w:tcBorders>
              <w:top w:val="single" w:sz="4" w:space="0" w:color="000000"/>
              <w:left w:val="single" w:sz="4" w:space="0" w:color="000000"/>
              <w:right w:val="single" w:sz="4" w:space="0" w:color="000000"/>
            </w:tcBorders>
            <w:shd w:val="clear" w:color="auto" w:fill="auto"/>
          </w:tcPr>
          <w:p w14:paraId="2E0C5B84" w14:textId="77777777" w:rsidR="00B248BB" w:rsidRDefault="00B248BB">
            <w:pPr>
              <w:pStyle w:val="Abschnittstitel"/>
            </w:pPr>
            <w:r>
              <w:t>IV.</w:t>
            </w:r>
          </w:p>
        </w:tc>
      </w:tr>
      <w:tr w:rsidR="00B248BB" w14:paraId="4B1EF337" w14:textId="77777777" w:rsidTr="00B248BB">
        <w:tc>
          <w:tcPr>
            <w:tcW w:w="14346" w:type="dxa"/>
            <w:tcBorders>
              <w:left w:val="single" w:sz="4" w:space="0" w:color="000000"/>
              <w:bottom w:val="single" w:sz="4" w:space="0" w:color="000000"/>
              <w:right w:val="single" w:sz="4" w:space="0" w:color="000000"/>
            </w:tcBorders>
            <w:shd w:val="clear" w:color="auto" w:fill="auto"/>
          </w:tcPr>
          <w:p w14:paraId="754AA167" w14:textId="77777777" w:rsidR="00B248BB" w:rsidRDefault="00B248BB">
            <w:pPr>
              <w:pStyle w:val="TableContents"/>
            </w:pPr>
            <w:r>
              <w:t>[Abschlussklausel]</w:t>
            </w:r>
          </w:p>
        </w:tc>
      </w:tr>
    </w:tbl>
    <w:p w14:paraId="7D655620" w14:textId="77777777" w:rsidR="00326B3C" w:rsidRDefault="00326B3C"/>
    <w:sectPr w:rsidR="00326B3C">
      <w:headerReference w:type="even" r:id="rId6"/>
      <w:headerReference w:type="default" r:id="rId7"/>
      <w:footerReference w:type="even" r:id="rId8"/>
      <w:footerReference w:type="default" r:id="rId9"/>
      <w:headerReference w:type="first" r:id="rId10"/>
      <w:footerReference w:type="first" r:id="rId11"/>
      <w:pgSz w:w="16838" w:h="11906" w:orient="landscape"/>
      <w:pgMar w:top="1133" w:right="850" w:bottom="850" w:left="1134" w:header="850" w:footer="567" w:gutter="0"/>
      <w:cols w:space="720"/>
      <w:titlePg/>
      <w:docGrid w:linePitch="245" w:charSpace="9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5BAE" w14:textId="77777777" w:rsidR="00203E6E" w:rsidRDefault="00B248BB">
      <w:r>
        <w:separator/>
      </w:r>
    </w:p>
  </w:endnote>
  <w:endnote w:type="continuationSeparator" w:id="0">
    <w:p w14:paraId="42A6E9CD" w14:textId="77777777" w:rsidR="00203E6E" w:rsidRDefault="00B2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1582" w14:textId="77777777" w:rsidR="00326B3C" w:rsidRDefault="00326B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618E" w14:textId="77777777" w:rsidR="00326B3C" w:rsidRDefault="00326B3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400C" w14:textId="77777777" w:rsidR="00326B3C" w:rsidRDefault="00326B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FEF7" w14:textId="77777777" w:rsidR="00203E6E" w:rsidRDefault="00B248BB">
      <w:r>
        <w:separator/>
      </w:r>
    </w:p>
  </w:footnote>
  <w:footnote w:type="continuationSeparator" w:id="0">
    <w:p w14:paraId="7BC38DEB" w14:textId="77777777" w:rsidR="00203E6E" w:rsidRDefault="00B248BB">
      <w:r>
        <w:continuationSeparator/>
      </w:r>
    </w:p>
  </w:footnote>
  <w:footnote w:id="1">
    <w:p w14:paraId="7068DF74" w14:textId="77777777" w:rsidR="00B248BB" w:rsidRDefault="00B248BB">
      <w:pPr>
        <w:pStyle w:val="Funotentext"/>
      </w:pPr>
      <w:r>
        <w:rPr>
          <w:rStyle w:val="FootnoteCharacters"/>
        </w:rPr>
        <w:footnoteRef/>
      </w:r>
      <w:hyperlink r:id="rId1" w:history="1">
        <w:r>
          <w:rPr>
            <w:rStyle w:val="Hyperlink"/>
          </w:rPr>
          <w:tab/>
          <w:t>SR 210</w:t>
        </w:r>
      </w:hyperlink>
    </w:p>
  </w:footnote>
  <w:footnote w:id="2">
    <w:p w14:paraId="025151A4" w14:textId="77777777" w:rsidR="00B248BB" w:rsidRDefault="00B248BB">
      <w:pPr>
        <w:pStyle w:val="Funotentext"/>
      </w:pPr>
      <w:r>
        <w:rPr>
          <w:rStyle w:val="FootnoteCharacters"/>
        </w:rPr>
        <w:footnoteRef/>
      </w:r>
      <w:hyperlink r:id="rId2" w:history="1">
        <w:r>
          <w:rPr>
            <w:rStyle w:val="Hyperlink"/>
          </w:rPr>
          <w:tab/>
          <w:t>SR 211.121.3</w:t>
        </w:r>
      </w:hyperlink>
    </w:p>
  </w:footnote>
  <w:footnote w:id="3">
    <w:p w14:paraId="04B5B4A8" w14:textId="77777777" w:rsidR="00B248BB" w:rsidRDefault="00B248BB">
      <w:pPr>
        <w:pStyle w:val="Funotentext"/>
      </w:pPr>
      <w:r>
        <w:rPr>
          <w:rStyle w:val="FootnoteCharacters"/>
        </w:rPr>
        <w:footnoteRef/>
      </w:r>
      <w:hyperlink r:id="rId3" w:history="1">
        <w:r>
          <w:rPr>
            <w:rStyle w:val="Hyperlink"/>
          </w:rPr>
          <w:tab/>
          <w:t>SR 220</w:t>
        </w:r>
      </w:hyperlink>
    </w:p>
  </w:footnote>
  <w:footnote w:id="4">
    <w:p w14:paraId="49E04DBA" w14:textId="77777777" w:rsidR="00B248BB" w:rsidRDefault="00B248BB">
      <w:pPr>
        <w:pStyle w:val="Funotentext"/>
      </w:pPr>
      <w:r>
        <w:rPr>
          <w:rStyle w:val="FootnoteCharacters"/>
        </w:rPr>
        <w:footnoteRef/>
      </w:r>
      <w:hyperlink r:id="rId4" w:history="1">
        <w:r>
          <w:rPr>
            <w:rStyle w:val="Hyperlink"/>
          </w:rPr>
          <w:tab/>
          <w:t>SR 311.0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4A32" w14:textId="77777777" w:rsidR="00326B3C" w:rsidRDefault="00B248BB">
    <w:pPr>
      <w:pStyle w:val="Kopfzeile"/>
      <w:spacing w:line="240" w:lineRule="exact"/>
      <w:jc w:val="center"/>
    </w:pPr>
    <w:r>
      <w:rPr>
        <w:sz w:val="16"/>
      </w:rPr>
      <w:t xml:space="preserv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r>
      <w:rPr>
        <w:sz w:val="16"/>
      </w:rPr>
      <w:t xml:space="preserve"> -</w:t>
    </w:r>
    <w:r>
      <w:rPr>
        <w:sz w:val="22"/>
      </w:rPr>
      <w:t xml:space="preserve"> </w:t>
    </w:r>
  </w:p>
  <w:p w14:paraId="2F003822" w14:textId="77777777" w:rsidR="00326B3C" w:rsidRDefault="00326B3C">
    <w:pPr>
      <w:pStyle w:val="Kopfzeile"/>
      <w:spacing w:line="240" w:lineRule="exact"/>
      <w:jc w:val="center"/>
      <w:rPr>
        <w:sz w:val="22"/>
      </w:rPr>
    </w:pPr>
  </w:p>
  <w:p w14:paraId="36762D45" w14:textId="77777777" w:rsidR="00326B3C" w:rsidRDefault="00326B3C">
    <w:pPr>
      <w:pStyle w:val="Kopfzeile"/>
      <w:spacing w:line="240" w:lineRule="exact"/>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508C" w14:textId="77777777" w:rsidR="00326B3C" w:rsidRDefault="00B248BB">
    <w:pPr>
      <w:pStyle w:val="Kopfzeile"/>
      <w:spacing w:line="240" w:lineRule="exact"/>
      <w:jc w:val="center"/>
    </w:pPr>
    <w:r>
      <w:rPr>
        <w:sz w:val="16"/>
      </w:rPr>
      <w:t xml:space="preserve">- </w:t>
    </w:r>
    <w:r>
      <w:rPr>
        <w:sz w:val="16"/>
      </w:rPr>
      <w:fldChar w:fldCharType="begin"/>
    </w:r>
    <w:r>
      <w:rPr>
        <w:sz w:val="16"/>
      </w:rPr>
      <w:instrText xml:space="preserve"> PAGE </w:instrText>
    </w:r>
    <w:r>
      <w:rPr>
        <w:sz w:val="16"/>
      </w:rPr>
      <w:fldChar w:fldCharType="separate"/>
    </w:r>
    <w:r>
      <w:rPr>
        <w:noProof/>
        <w:sz w:val="16"/>
      </w:rPr>
      <w:t>5</w:t>
    </w:r>
    <w:r>
      <w:rPr>
        <w:sz w:val="16"/>
      </w:rPr>
      <w:fldChar w:fldCharType="end"/>
    </w:r>
    <w:r>
      <w:rPr>
        <w:sz w:val="16"/>
      </w:rPr>
      <w:t xml:space="preserve"> -</w:t>
    </w:r>
    <w:r>
      <w:rPr>
        <w:sz w:val="22"/>
      </w:rPr>
      <w:t xml:space="preserve"> </w:t>
    </w:r>
  </w:p>
  <w:p w14:paraId="49C5085D" w14:textId="77777777" w:rsidR="00326B3C" w:rsidRDefault="00326B3C">
    <w:pPr>
      <w:pStyle w:val="Kopfzeile"/>
      <w:spacing w:line="240" w:lineRule="exact"/>
      <w:jc w:val="center"/>
      <w:rPr>
        <w:sz w:val="22"/>
      </w:rPr>
    </w:pPr>
  </w:p>
  <w:p w14:paraId="26DEBB38" w14:textId="77777777" w:rsidR="00326B3C" w:rsidRDefault="00326B3C">
    <w:pPr>
      <w:pStyle w:val="Kopfzeile"/>
      <w:spacing w:line="240" w:lineRule="exact"/>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74A4" w14:textId="77777777" w:rsidR="00326B3C" w:rsidRDefault="00326B3C">
    <w:pPr>
      <w:pStyle w:val="Kopfzeile"/>
      <w:spacing w:line="240" w:lineRule="exact"/>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B3C"/>
    <w:rsid w:val="00153DEB"/>
    <w:rsid w:val="00203E6E"/>
    <w:rsid w:val="00326B3C"/>
    <w:rsid w:val="00B248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8BC653"/>
  <w15:docId w15:val="{F037A2E7-2E15-459A-BB10-621ED6FB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keepLines/>
      <w:widowControl w:val="0"/>
      <w:tabs>
        <w:tab w:val="right" w:pos="14854"/>
      </w:tabs>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Absatz-Standardschriftart1">
    <w:name w:val="Absatz-Standardschriftart1"/>
  </w:style>
  <w:style w:type="character" w:styleId="Funotenzeichen">
    <w:name w:val="footnote reference"/>
    <w:rPr>
      <w:b w:val="0"/>
      <w:position w:val="0"/>
      <w:sz w:val="19"/>
      <w:vertAlign w:val="superscript"/>
    </w:rPr>
  </w:style>
  <w:style w:type="character" w:customStyle="1" w:styleId="FootnoteCharacters">
    <w:name w:val="Footnote Characters"/>
    <w:rPr>
      <w:rFonts w:ascii="Arial" w:hAnsi="Arial"/>
      <w:position w:val="0"/>
      <w:sz w:val="12"/>
      <w:vertAlign w:val="baseline"/>
    </w:rPr>
  </w:style>
  <w:style w:type="character" w:styleId="Hyperlink">
    <w:name w:val="Hyperlink"/>
    <w:rPr>
      <w:color w:val="000080"/>
      <w:u w:val="single"/>
    </w:rPr>
  </w:style>
  <w:style w:type="character" w:styleId="Endnotenzeichen">
    <w:name w:val="endnote reference"/>
    <w:rPr>
      <w:vertAlign w:val="superscript"/>
    </w:rPr>
  </w:style>
  <w:style w:type="character" w:customStyle="1" w:styleId="EndnoteCharacters">
    <w:name w:val="Endnote Characters"/>
  </w:style>
  <w:style w:type="paragraph" w:customStyle="1" w:styleId="Autor">
    <w:name w:val="Autor"/>
    <w:basedOn w:val="Standard"/>
    <w:rPr>
      <w:i/>
      <w:iCs/>
    </w:rPr>
  </w:style>
  <w:style w:type="paragraph" w:customStyle="1" w:styleId="Aktion">
    <w:name w:val="Aktion"/>
    <w:basedOn w:val="Standard"/>
    <w:rPr>
      <w:i/>
      <w:iCs/>
    </w:rPr>
  </w:style>
  <w:style w:type="paragraph" w:customStyle="1" w:styleId="EmptySectionRemark">
    <w:name w:val="Empty_Section_Remark"/>
    <w:basedOn w:val="Standard"/>
    <w:rPr>
      <w:i/>
      <w:iCs/>
    </w:rPr>
  </w:style>
  <w:style w:type="paragraph" w:customStyle="1" w:styleId="StandardvorAufzhlung">
    <w:name w:val="Standard vor Aufzählung"/>
    <w:basedOn w:val="Standard"/>
  </w:style>
  <w:style w:type="paragraph" w:customStyle="1" w:styleId="StandardvorTabelle">
    <w:name w:val="Standard vor Tabelle"/>
    <w:basedOn w:val="Standard"/>
  </w:style>
  <w:style w:type="paragraph" w:customStyle="1" w:styleId="StandardvorBild">
    <w:name w:val="Standard vor Bild"/>
    <w:basedOn w:val="Standard"/>
  </w:style>
  <w:style w:type="paragraph" w:styleId="Kopfzeile">
    <w:name w:val="header"/>
    <w:pPr>
      <w:widowControl w:val="0"/>
      <w:tabs>
        <w:tab w:val="right" w:pos="14854"/>
      </w:tabs>
      <w:suppressAutoHyphens/>
    </w:pPr>
    <w:rPr>
      <w:rFonts w:ascii="Arial" w:hAnsi="Arial"/>
      <w:sz w:val="18"/>
    </w:rPr>
  </w:style>
  <w:style w:type="paragraph" w:styleId="Fuzeile">
    <w:name w:val="footer"/>
    <w:basedOn w:val="Kopfzeile"/>
  </w:style>
  <w:style w:type="paragraph" w:customStyle="1" w:styleId="Erlasstitel">
    <w:name w:val="Erlasstitel"/>
    <w:basedOn w:val="Standard"/>
    <w:next w:val="Datum1"/>
    <w:pPr>
      <w:keepNext/>
      <w:suppressAutoHyphens/>
      <w:spacing w:before="240" w:after="240"/>
    </w:pPr>
    <w:rPr>
      <w:b/>
      <w:sz w:val="24"/>
    </w:rPr>
  </w:style>
  <w:style w:type="paragraph" w:customStyle="1" w:styleId="Datum1">
    <w:name w:val="Datum1"/>
    <w:basedOn w:val="Standard"/>
    <w:next w:val="Autor"/>
    <w:pPr>
      <w:keepNext/>
      <w:pBdr>
        <w:top w:val="none" w:sz="0" w:space="0" w:color="000000"/>
        <w:left w:val="none" w:sz="0" w:space="0" w:color="000000"/>
        <w:bottom w:val="single" w:sz="4" w:space="10" w:color="000000"/>
        <w:right w:val="none" w:sz="0" w:space="0" w:color="000000"/>
      </w:pBdr>
      <w:spacing w:after="240"/>
      <w:ind w:left="28" w:right="28"/>
    </w:pPr>
    <w:rPr>
      <w:position w:val="2"/>
    </w:rPr>
  </w:style>
  <w:style w:type="paragraph" w:customStyle="1" w:styleId="Grundlage">
    <w:name w:val="Grundlage"/>
    <w:basedOn w:val="Standard"/>
    <w:next w:val="Aktion"/>
    <w:pPr>
      <w:spacing w:before="240" w:after="40"/>
    </w:pPr>
  </w:style>
  <w:style w:type="paragraph" w:customStyle="1" w:styleId="Schluss">
    <w:name w:val="Schluss"/>
    <w:basedOn w:val="Standard"/>
    <w:pPr>
      <w:tabs>
        <w:tab w:val="clear" w:pos="14854"/>
        <w:tab w:val="left" w:pos="6124"/>
      </w:tabs>
      <w:spacing w:before="480" w:after="40"/>
      <w:ind w:left="3062" w:hanging="3062"/>
    </w:pPr>
  </w:style>
  <w:style w:type="paragraph" w:customStyle="1" w:styleId="Nebenzitat">
    <w:name w:val="Nebenzitat"/>
    <w:basedOn w:val="Standard"/>
  </w:style>
  <w:style w:type="paragraph" w:customStyle="1" w:styleId="Abschnittstitel">
    <w:name w:val="Abschnittstitel"/>
    <w:basedOn w:val="Standard"/>
    <w:pPr>
      <w:keepNext/>
      <w:suppressAutoHyphens/>
    </w:pPr>
    <w:rPr>
      <w:b/>
      <w:sz w:val="22"/>
    </w:rPr>
  </w:style>
  <w:style w:type="paragraph" w:customStyle="1" w:styleId="TitelStufe1">
    <w:name w:val="Titel Stufe 1"/>
    <w:basedOn w:val="Standard"/>
    <w:next w:val="Artikel"/>
    <w:pPr>
      <w:keepNext/>
      <w:suppressAutoHyphens/>
      <w:spacing w:before="360"/>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Textkrper">
    <w:name w:val="Body Text"/>
    <w:basedOn w:val="Standard"/>
    <w:pPr>
      <w:spacing w:after="140" w:line="276" w:lineRule="auto"/>
    </w:pPr>
  </w:style>
  <w:style w:type="paragraph" w:styleId="Kommentartext">
    <w:name w:val="annotation text"/>
    <w:basedOn w:val="Standard"/>
    <w:pPr>
      <w:keepNext/>
      <w:spacing w:line="144" w:lineRule="exact"/>
    </w:pPr>
    <w:rPr>
      <w:sz w:val="14"/>
    </w:rPr>
  </w:style>
  <w:style w:type="paragraph" w:customStyle="1" w:styleId="Artikel">
    <w:name w:val="Artikel"/>
    <w:basedOn w:val="Standard"/>
    <w:next w:val="Standard"/>
    <w:pPr>
      <w:keepNext/>
      <w:tabs>
        <w:tab w:val="clear" w:pos="14854"/>
        <w:tab w:val="left" w:pos="1360"/>
      </w:tabs>
      <w:spacing w:before="240" w:after="60"/>
      <w:ind w:left="680" w:hanging="680"/>
    </w:pPr>
  </w:style>
  <w:style w:type="paragraph" w:customStyle="1" w:styleId="Artikelaufgehoben">
    <w:name w:val="Artikel (aufgehoben)"/>
    <w:basedOn w:val="Artikel"/>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e1">
    <w:name w:val="Liste 1"/>
    <w:basedOn w:val="Standard"/>
    <w:pPr>
      <w:ind w:left="340" w:hanging="340"/>
    </w:pPr>
  </w:style>
  <w:style w:type="paragraph" w:customStyle="1" w:styleId="Liste1mitaufeinanderfolgendenAufhebungen">
    <w:name w:val="Liste 1 mit aufeinanderfolgenden Aufhebungen"/>
    <w:basedOn w:val="Liste1"/>
  </w:style>
  <w:style w:type="paragraph" w:customStyle="1" w:styleId="Liste1mitUnterelementen">
    <w:name w:val="Liste 1 mit Unterelementen"/>
    <w:basedOn w:val="Liste1"/>
  </w:style>
  <w:style w:type="paragraph" w:customStyle="1" w:styleId="Liste21">
    <w:name w:val="Liste 21"/>
    <w:basedOn w:val="Liste1"/>
    <w:pPr>
      <w:ind w:left="680"/>
    </w:pPr>
  </w:style>
  <w:style w:type="paragraph" w:customStyle="1" w:styleId="Liste2mitaufeinanderfolgendenAufhebungen">
    <w:name w:val="Liste 2 mit aufeinanderfolgenden Aufhebungen"/>
    <w:basedOn w:val="Liste21"/>
  </w:style>
  <w:style w:type="paragraph" w:customStyle="1" w:styleId="Liste31">
    <w:name w:val="Liste 31"/>
    <w:basedOn w:val="Liste21"/>
    <w:pPr>
      <w:ind w:left="1021"/>
    </w:pPr>
  </w:style>
  <w:style w:type="paragraph" w:styleId="Funotentext">
    <w:name w:val="footnote text"/>
    <w:basedOn w:val="Standard"/>
    <w:pPr>
      <w:spacing w:line="188" w:lineRule="exact"/>
      <w:ind w:left="210" w:hanging="21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db.clex.ch/link/Bund/220/de" TargetMode="External"/><Relationship Id="rId2" Type="http://schemas.openxmlformats.org/officeDocument/2006/relationships/hyperlink" Target="http://db.clex.ch/link/Bund/211.121.3/de" TargetMode="External"/><Relationship Id="rId1" Type="http://schemas.openxmlformats.org/officeDocument/2006/relationships/hyperlink" Target="http://db.clex.ch/link/Bund/210/de" TargetMode="External"/><Relationship Id="rId4" Type="http://schemas.openxmlformats.org/officeDocument/2006/relationships/hyperlink" Target="http://db.clex.ch/link/Bund/311.0/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44DCA-EF23-4979-A74E-EA99AC3FBCCF}"/>
</file>

<file path=customXml/itemProps2.xml><?xml version="1.0" encoding="utf-8"?>
<ds:datastoreItem xmlns:ds="http://schemas.openxmlformats.org/officeDocument/2006/customXml" ds:itemID="{F7AE9EE5-2D30-47E8-8E96-1A05F4DED4F6}"/>
</file>

<file path=customXml/itemProps3.xml><?xml version="1.0" encoding="utf-8"?>
<ds:datastoreItem xmlns:ds="http://schemas.openxmlformats.org/officeDocument/2006/customXml" ds:itemID="{62B57471-EC7E-471F-BDAD-5D1160D9E0ED}"/>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7734</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Bartels, Katrin SID</dc:creator>
  <cp:lastModifiedBy>info@vblg.ch</cp:lastModifiedBy>
  <cp:revision>2</cp:revision>
  <dcterms:created xsi:type="dcterms:W3CDTF">2021-08-12T06:29:00Z</dcterms:created>
  <dcterms:modified xsi:type="dcterms:W3CDTF">2021-08-12T06:29:00Z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Synopse</vt:lpwstr>
  </property>
  <property fmtid="{D5CDD505-2E9C-101B-9397-08002B2CF9AE}" pid="3" name="ContentTypeId">
    <vt:lpwstr>0x0101009E044C41229C2745B6A3FE15F7783453</vt:lpwstr>
  </property>
</Properties>
</file>